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2C08" w14:textId="77777777" w:rsidR="005A4DB3" w:rsidRDefault="00F11E53">
      <w:pPr>
        <w:spacing w:beforeLines="50" w:before="156" w:afterLines="50" w:after="156" w:line="360" w:lineRule="auto"/>
        <w:jc w:val="center"/>
        <w:rPr>
          <w:rFonts w:ascii="宋体" w:hAnsi="宋体" w:cs="Arial" w:hint="eastAsia"/>
          <w:b/>
          <w:spacing w:val="4"/>
          <w:sz w:val="52"/>
          <w:szCs w:val="52"/>
        </w:rPr>
      </w:pPr>
      <w:r>
        <w:rPr>
          <w:rFonts w:ascii="宋体" w:hAnsi="宋体" w:cs="Arial" w:hint="eastAsia"/>
          <w:b/>
          <w:spacing w:val="4"/>
          <w:sz w:val="52"/>
          <w:szCs w:val="52"/>
        </w:rPr>
        <w:t>安徽省交通建设股份有限公司</w:t>
      </w:r>
    </w:p>
    <w:p w14:paraId="20240826" w14:textId="77777777" w:rsidR="005A4DB3" w:rsidRDefault="005A4DB3">
      <w:pPr>
        <w:spacing w:beforeLines="50" w:before="156" w:afterLines="50" w:after="156" w:line="360" w:lineRule="auto"/>
        <w:jc w:val="center"/>
        <w:rPr>
          <w:rFonts w:ascii="宋体" w:hAnsi="宋体" w:cs="Arial" w:hint="eastAsia"/>
          <w:b/>
          <w:spacing w:val="4"/>
          <w:sz w:val="52"/>
          <w:szCs w:val="52"/>
        </w:rPr>
      </w:pPr>
    </w:p>
    <w:p w14:paraId="21595A18" w14:textId="77777777" w:rsidR="005A4DB3" w:rsidRDefault="00F11E53">
      <w:pPr>
        <w:spacing w:beforeLines="50" w:before="156" w:afterLines="50" w:after="156" w:line="360" w:lineRule="auto"/>
        <w:jc w:val="center"/>
        <w:rPr>
          <w:rFonts w:ascii="宋体" w:hAnsi="宋体" w:cs="Arial" w:hint="eastAsia"/>
          <w:b/>
          <w:spacing w:val="4"/>
          <w:sz w:val="52"/>
          <w:szCs w:val="52"/>
        </w:rPr>
      </w:pPr>
      <w:r>
        <w:rPr>
          <w:rFonts w:ascii="宋体" w:hAnsi="宋体" w:cs="Arial"/>
          <w:b/>
          <w:spacing w:val="4"/>
          <w:sz w:val="52"/>
          <w:szCs w:val="52"/>
        </w:rPr>
        <w:t>章  程</w:t>
      </w:r>
    </w:p>
    <w:p w14:paraId="7BE21EB6" w14:textId="77777777" w:rsidR="005A4DB3" w:rsidRDefault="005A4DB3">
      <w:pPr>
        <w:widowControl/>
        <w:adjustRightInd w:val="0"/>
        <w:snapToGrid w:val="0"/>
        <w:spacing w:beforeLines="50" w:before="156" w:afterLines="50" w:after="156" w:line="360" w:lineRule="auto"/>
        <w:jc w:val="center"/>
        <w:rPr>
          <w:rFonts w:ascii="宋体" w:hAnsi="宋体" w:cs="Arial" w:hint="eastAsia"/>
          <w:b/>
          <w:color w:val="000000"/>
          <w:kern w:val="0"/>
          <w:sz w:val="32"/>
          <w:szCs w:val="32"/>
        </w:rPr>
      </w:pPr>
    </w:p>
    <w:p w14:paraId="2CC11DB6"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079D90AF"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42C43A94"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7D0811A9"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399A6EB1"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74953E29"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1C7E9E23"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40856647"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58B18928" w14:textId="77777777" w:rsidR="005A4DB3" w:rsidRDefault="005A4DB3">
      <w:pPr>
        <w:widowControl/>
        <w:adjustRightInd w:val="0"/>
        <w:snapToGrid w:val="0"/>
        <w:spacing w:beforeLines="50" w:before="156" w:afterLines="50" w:after="156" w:line="360" w:lineRule="auto"/>
        <w:ind w:firstLineChars="200" w:firstLine="640"/>
        <w:jc w:val="center"/>
        <w:rPr>
          <w:rFonts w:ascii="宋体" w:hAnsi="宋体" w:cs="Arial" w:hint="eastAsia"/>
          <w:color w:val="000000"/>
          <w:kern w:val="0"/>
          <w:sz w:val="32"/>
          <w:szCs w:val="32"/>
        </w:rPr>
      </w:pPr>
    </w:p>
    <w:p w14:paraId="2DE7BBCB" w14:textId="05AB3EA1" w:rsidR="005A4DB3" w:rsidRDefault="00F11E53">
      <w:pPr>
        <w:widowControl/>
        <w:adjustRightInd w:val="0"/>
        <w:snapToGrid w:val="0"/>
        <w:spacing w:beforeLines="50" w:before="156" w:afterLines="50" w:after="156" w:line="360" w:lineRule="auto"/>
        <w:jc w:val="center"/>
        <w:rPr>
          <w:rFonts w:ascii="宋体" w:hAnsi="宋体" w:cs="Arial" w:hint="eastAsia"/>
          <w:b/>
          <w:color w:val="000000"/>
          <w:kern w:val="0"/>
          <w:sz w:val="44"/>
          <w:szCs w:val="44"/>
        </w:rPr>
      </w:pPr>
      <w:r>
        <w:rPr>
          <w:rFonts w:ascii="宋体" w:hAnsi="宋体" w:cs="Arial" w:hint="eastAsia"/>
          <w:b/>
          <w:color w:val="000000"/>
          <w:kern w:val="0"/>
          <w:sz w:val="44"/>
          <w:szCs w:val="44"/>
        </w:rPr>
        <w:t>二〇二五年</w:t>
      </w:r>
      <w:r w:rsidR="00793C1B">
        <w:rPr>
          <w:rFonts w:ascii="宋体" w:hAnsi="宋体" w:cs="Arial" w:hint="eastAsia"/>
          <w:b/>
          <w:color w:val="000000"/>
          <w:kern w:val="0"/>
          <w:sz w:val="44"/>
          <w:szCs w:val="44"/>
        </w:rPr>
        <w:t>十</w:t>
      </w:r>
      <w:r w:rsidR="00CE4F6A">
        <w:rPr>
          <w:rFonts w:ascii="宋体" w:hAnsi="宋体" w:cs="Arial" w:hint="eastAsia"/>
          <w:b/>
          <w:color w:val="000000"/>
          <w:kern w:val="0"/>
          <w:sz w:val="44"/>
          <w:szCs w:val="44"/>
        </w:rPr>
        <w:t>二</w:t>
      </w:r>
      <w:r>
        <w:rPr>
          <w:rFonts w:ascii="宋体" w:hAnsi="宋体" w:cs="Arial" w:hint="eastAsia"/>
          <w:b/>
          <w:color w:val="000000"/>
          <w:kern w:val="0"/>
          <w:sz w:val="44"/>
          <w:szCs w:val="44"/>
        </w:rPr>
        <w:t>月</w:t>
      </w:r>
    </w:p>
    <w:p w14:paraId="2E1C22AE" w14:textId="77777777" w:rsidR="005A4DB3" w:rsidRDefault="005A4DB3">
      <w:pPr>
        <w:widowControl/>
        <w:adjustRightInd w:val="0"/>
        <w:snapToGrid w:val="0"/>
        <w:spacing w:beforeLines="50" w:before="156" w:afterLines="50" w:after="156" w:line="360" w:lineRule="auto"/>
        <w:ind w:firstLineChars="200" w:firstLine="640"/>
        <w:rPr>
          <w:rFonts w:ascii="宋体" w:hAnsi="宋体" w:cs="Arial" w:hint="eastAsia"/>
          <w:color w:val="000000"/>
          <w:kern w:val="0"/>
          <w:sz w:val="32"/>
          <w:szCs w:val="32"/>
        </w:rPr>
      </w:pPr>
    </w:p>
    <w:p w14:paraId="086B2F14" w14:textId="77777777" w:rsidR="005A4DB3" w:rsidRDefault="005A4DB3">
      <w:pPr>
        <w:adjustRightInd w:val="0"/>
        <w:snapToGrid w:val="0"/>
        <w:jc w:val="center"/>
        <w:rPr>
          <w:rFonts w:ascii="宋体" w:hAnsi="宋体" w:cs="Arial" w:hint="eastAsia"/>
          <w:snapToGrid w:val="0"/>
          <w:kern w:val="0"/>
          <w:sz w:val="24"/>
        </w:rPr>
        <w:sectPr w:rsidR="005A4DB3">
          <w:headerReference w:type="default" r:id="rId8"/>
          <w:pgSz w:w="11906" w:h="16838"/>
          <w:pgMar w:top="1440" w:right="1800" w:bottom="1440" w:left="1800" w:header="851" w:footer="992" w:gutter="0"/>
          <w:cols w:space="720"/>
          <w:docGrid w:type="lines" w:linePitch="312"/>
        </w:sectPr>
      </w:pPr>
    </w:p>
    <w:p w14:paraId="12F9B8C8" w14:textId="77777777" w:rsidR="005A4DB3" w:rsidRDefault="00F11E53">
      <w:pPr>
        <w:adjustRightInd w:val="0"/>
        <w:snapToGrid w:val="0"/>
        <w:jc w:val="center"/>
        <w:rPr>
          <w:rFonts w:ascii="宋体" w:hAnsi="宋体" w:cs="Arial" w:hint="eastAsia"/>
          <w:b/>
          <w:snapToGrid w:val="0"/>
          <w:kern w:val="0"/>
          <w:sz w:val="36"/>
          <w:szCs w:val="36"/>
        </w:rPr>
      </w:pPr>
      <w:r>
        <w:rPr>
          <w:rFonts w:ascii="宋体" w:hAnsi="宋体" w:cs="Arial"/>
          <w:snapToGrid w:val="0"/>
          <w:kern w:val="0"/>
          <w:sz w:val="24"/>
        </w:rPr>
        <w:lastRenderedPageBreak/>
        <w:t xml:space="preserve">    </w:t>
      </w:r>
      <w:r>
        <w:rPr>
          <w:rFonts w:ascii="宋体" w:hAnsi="宋体" w:cs="Arial"/>
          <w:b/>
          <w:snapToGrid w:val="0"/>
          <w:kern w:val="0"/>
          <w:sz w:val="36"/>
          <w:szCs w:val="36"/>
        </w:rPr>
        <w:t>目  录</w:t>
      </w:r>
    </w:p>
    <w:sdt>
      <w:sdtPr>
        <w:rPr>
          <w:rFonts w:ascii="Times New Roman" w:eastAsia="宋体" w:hAnsi="Times New Roman"/>
          <w:color w:val="auto"/>
          <w:kern w:val="2"/>
          <w:sz w:val="21"/>
          <w:szCs w:val="20"/>
          <w:lang w:val="zh-CN"/>
        </w:rPr>
        <w:id w:val="1609613339"/>
        <w:docPartObj>
          <w:docPartGallery w:val="Table of Contents"/>
          <w:docPartUnique/>
        </w:docPartObj>
      </w:sdtPr>
      <w:sdtEndPr>
        <w:rPr>
          <w:b/>
          <w:bCs/>
        </w:rPr>
      </w:sdtEndPr>
      <w:sdtContent>
        <w:p w14:paraId="1D7B9387" w14:textId="21688014" w:rsidR="00292011" w:rsidRDefault="00292011">
          <w:pPr>
            <w:pStyle w:val="TOC"/>
            <w:rPr>
              <w:rFonts w:hint="eastAsia"/>
            </w:rPr>
          </w:pPr>
        </w:p>
        <w:p w14:paraId="2AC0048A" w14:textId="1204BF41"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r>
            <w:fldChar w:fldCharType="begin"/>
          </w:r>
          <w:r>
            <w:instrText xml:space="preserve"> TOC \o "1-3" \h \z \u </w:instrText>
          </w:r>
          <w:r>
            <w:fldChar w:fldCharType="separate"/>
          </w:r>
          <w:hyperlink w:anchor="_Toc212813213" w:history="1">
            <w:r w:rsidRPr="00383899">
              <w:rPr>
                <w:rStyle w:val="af1"/>
                <w:rFonts w:hint="eastAsia"/>
                <w:noProof/>
              </w:rPr>
              <w:t>第一章</w:t>
            </w:r>
            <w:r w:rsidRPr="00383899">
              <w:rPr>
                <w:rStyle w:val="af1"/>
                <w:rFonts w:hint="eastAsia"/>
                <w:noProof/>
              </w:rPr>
              <w:t xml:space="preserve"> </w:t>
            </w:r>
            <w:r w:rsidRPr="00383899">
              <w:rPr>
                <w:rStyle w:val="af1"/>
                <w:rFonts w:hint="eastAsia"/>
                <w:noProof/>
              </w:rPr>
              <w:t>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237AF6BB" w14:textId="6F0504AA"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14" w:history="1">
            <w:r w:rsidRPr="00383899">
              <w:rPr>
                <w:rStyle w:val="af1"/>
                <w:rFonts w:hint="eastAsia"/>
                <w:noProof/>
              </w:rPr>
              <w:t>第二章</w:t>
            </w:r>
            <w:r w:rsidRPr="00383899">
              <w:rPr>
                <w:rStyle w:val="af1"/>
                <w:rFonts w:hint="eastAsia"/>
                <w:noProof/>
              </w:rPr>
              <w:t xml:space="preserve"> </w:t>
            </w:r>
            <w:r w:rsidRPr="00383899">
              <w:rPr>
                <w:rStyle w:val="af1"/>
                <w:rFonts w:hint="eastAsia"/>
                <w:noProof/>
              </w:rPr>
              <w:t>经营宗旨和经营范围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F581A2F" w14:textId="04657D66"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15" w:history="1">
            <w:r w:rsidRPr="00383899">
              <w:rPr>
                <w:rStyle w:val="af1"/>
                <w:rFonts w:hint="eastAsia"/>
                <w:noProof/>
              </w:rPr>
              <w:t>第三章</w:t>
            </w:r>
            <w:r w:rsidRPr="00383899">
              <w:rPr>
                <w:rStyle w:val="af1"/>
                <w:rFonts w:hint="eastAsia"/>
                <w:noProof/>
              </w:rPr>
              <w:t xml:space="preserve"> </w:t>
            </w:r>
            <w:r w:rsidRPr="00383899">
              <w:rPr>
                <w:rStyle w:val="af1"/>
                <w:rFonts w:hint="eastAsia"/>
                <w:noProof/>
              </w:rPr>
              <w:t>股份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1F14408" w14:textId="422167C2"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16" w:history="1">
            <w:r w:rsidRPr="00383899">
              <w:rPr>
                <w:rStyle w:val="af1"/>
                <w:rFonts w:hint="eastAsia"/>
                <w:noProof/>
                <w:snapToGrid w:val="0"/>
                <w:kern w:val="0"/>
              </w:rPr>
              <w:t>第一节</w:t>
            </w:r>
            <w:r w:rsidRPr="00383899">
              <w:rPr>
                <w:rStyle w:val="af1"/>
                <w:rFonts w:hint="eastAsia"/>
                <w:noProof/>
                <w:snapToGrid w:val="0"/>
                <w:kern w:val="0"/>
              </w:rPr>
              <w:t xml:space="preserve"> </w:t>
            </w:r>
            <w:r w:rsidRPr="00383899">
              <w:rPr>
                <w:rStyle w:val="af1"/>
                <w:rFonts w:hint="eastAsia"/>
                <w:noProof/>
                <w:snapToGrid w:val="0"/>
                <w:kern w:val="0"/>
              </w:rPr>
              <w:t>股份发行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FCBC146" w14:textId="1D8A13AA"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17" w:history="1">
            <w:r w:rsidRPr="00383899">
              <w:rPr>
                <w:rStyle w:val="af1"/>
                <w:rFonts w:hint="eastAsia"/>
                <w:noProof/>
                <w:snapToGrid w:val="0"/>
                <w:kern w:val="0"/>
              </w:rPr>
              <w:t>第二节</w:t>
            </w:r>
            <w:r w:rsidRPr="00383899">
              <w:rPr>
                <w:rStyle w:val="af1"/>
                <w:rFonts w:hint="eastAsia"/>
                <w:noProof/>
                <w:snapToGrid w:val="0"/>
                <w:kern w:val="0"/>
              </w:rPr>
              <w:t xml:space="preserve"> </w:t>
            </w:r>
            <w:r w:rsidRPr="00383899">
              <w:rPr>
                <w:rStyle w:val="af1"/>
                <w:rFonts w:hint="eastAsia"/>
                <w:noProof/>
                <w:snapToGrid w:val="0"/>
                <w:kern w:val="0"/>
              </w:rPr>
              <w:t>股份增减和回购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16C25028" w14:textId="741D106B"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18" w:history="1">
            <w:r w:rsidRPr="00383899">
              <w:rPr>
                <w:rStyle w:val="af1"/>
                <w:rFonts w:hint="eastAsia"/>
                <w:noProof/>
                <w:snapToGrid w:val="0"/>
                <w:kern w:val="0"/>
              </w:rPr>
              <w:t>第三节</w:t>
            </w:r>
            <w:r w:rsidRPr="00383899">
              <w:rPr>
                <w:rStyle w:val="af1"/>
                <w:rFonts w:hint="eastAsia"/>
                <w:noProof/>
                <w:snapToGrid w:val="0"/>
                <w:kern w:val="0"/>
              </w:rPr>
              <w:t xml:space="preserve"> </w:t>
            </w:r>
            <w:r w:rsidRPr="00383899">
              <w:rPr>
                <w:rStyle w:val="af1"/>
                <w:rFonts w:hint="eastAsia"/>
                <w:noProof/>
                <w:snapToGrid w:val="0"/>
                <w:kern w:val="0"/>
              </w:rPr>
              <w:t>股份转让</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89CB13" w14:textId="52DE67B9"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19" w:history="1">
            <w:r w:rsidRPr="00383899">
              <w:rPr>
                <w:rStyle w:val="af1"/>
                <w:rFonts w:hint="eastAsia"/>
                <w:noProof/>
              </w:rPr>
              <w:t>第四章</w:t>
            </w:r>
            <w:r w:rsidRPr="00383899">
              <w:rPr>
                <w:rStyle w:val="af1"/>
                <w:rFonts w:hint="eastAsia"/>
                <w:noProof/>
              </w:rPr>
              <w:t xml:space="preserve"> </w:t>
            </w:r>
            <w:r w:rsidRPr="00383899">
              <w:rPr>
                <w:rStyle w:val="af1"/>
                <w:rFonts w:hint="eastAsia"/>
                <w:noProof/>
              </w:rPr>
              <w:t>股东和股东会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C4068C0" w14:textId="18E09433"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0" w:history="1">
            <w:r w:rsidRPr="00383899">
              <w:rPr>
                <w:rStyle w:val="af1"/>
                <w:rFonts w:hint="eastAsia"/>
                <w:noProof/>
                <w:snapToGrid w:val="0"/>
                <w:kern w:val="0"/>
              </w:rPr>
              <w:t>第一节</w:t>
            </w:r>
            <w:r w:rsidRPr="00383899">
              <w:rPr>
                <w:rStyle w:val="af1"/>
                <w:rFonts w:hint="eastAsia"/>
                <w:noProof/>
                <w:snapToGrid w:val="0"/>
                <w:kern w:val="0"/>
              </w:rPr>
              <w:t xml:space="preserve"> </w:t>
            </w:r>
            <w:r w:rsidRPr="00383899">
              <w:rPr>
                <w:rStyle w:val="af1"/>
                <w:rFonts w:hint="eastAsia"/>
                <w:noProof/>
                <w:snapToGrid w:val="0"/>
                <w:kern w:val="0"/>
              </w:rPr>
              <w:t>股东的一般规定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DFF6738" w14:textId="3A7D687D"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1" w:history="1">
            <w:r w:rsidRPr="00383899">
              <w:rPr>
                <w:rStyle w:val="af1"/>
                <w:rFonts w:hint="eastAsia"/>
                <w:noProof/>
                <w:snapToGrid w:val="0"/>
                <w:kern w:val="0"/>
              </w:rPr>
              <w:t>第二节</w:t>
            </w:r>
            <w:r w:rsidRPr="00383899">
              <w:rPr>
                <w:rStyle w:val="af1"/>
                <w:rFonts w:hint="eastAsia"/>
                <w:noProof/>
                <w:snapToGrid w:val="0"/>
                <w:kern w:val="0"/>
              </w:rPr>
              <w:t xml:space="preserve"> </w:t>
            </w:r>
            <w:r w:rsidRPr="00383899">
              <w:rPr>
                <w:rStyle w:val="af1"/>
                <w:rFonts w:hint="eastAsia"/>
                <w:noProof/>
                <w:snapToGrid w:val="0"/>
                <w:kern w:val="0"/>
              </w:rPr>
              <w:t>控股股东和实际控制人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A277E2D" w14:textId="408D2AAE"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2" w:history="1">
            <w:r w:rsidRPr="00383899">
              <w:rPr>
                <w:rStyle w:val="af1"/>
                <w:rFonts w:hint="eastAsia"/>
                <w:noProof/>
                <w:snapToGrid w:val="0"/>
                <w:kern w:val="0"/>
              </w:rPr>
              <w:t>第三节</w:t>
            </w:r>
            <w:r w:rsidRPr="00383899">
              <w:rPr>
                <w:rStyle w:val="af1"/>
                <w:rFonts w:hint="eastAsia"/>
                <w:noProof/>
                <w:snapToGrid w:val="0"/>
                <w:kern w:val="0"/>
              </w:rPr>
              <w:t xml:space="preserve"> </w:t>
            </w:r>
            <w:r w:rsidRPr="00383899">
              <w:rPr>
                <w:rStyle w:val="af1"/>
                <w:rFonts w:hint="eastAsia"/>
                <w:noProof/>
                <w:snapToGrid w:val="0"/>
                <w:kern w:val="0"/>
              </w:rPr>
              <w:t>股东会的一般规定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8204BFA" w14:textId="7C1658F1"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3" w:history="1">
            <w:r w:rsidRPr="00383899">
              <w:rPr>
                <w:rStyle w:val="af1"/>
                <w:rFonts w:hint="eastAsia"/>
                <w:noProof/>
                <w:snapToGrid w:val="0"/>
                <w:kern w:val="0"/>
              </w:rPr>
              <w:t>第四节</w:t>
            </w:r>
            <w:r w:rsidRPr="00383899">
              <w:rPr>
                <w:rStyle w:val="af1"/>
                <w:rFonts w:hint="eastAsia"/>
                <w:noProof/>
                <w:snapToGrid w:val="0"/>
                <w:kern w:val="0"/>
              </w:rPr>
              <w:t xml:space="preserve"> </w:t>
            </w:r>
            <w:r w:rsidRPr="00383899">
              <w:rPr>
                <w:rStyle w:val="af1"/>
                <w:rFonts w:hint="eastAsia"/>
                <w:noProof/>
                <w:snapToGrid w:val="0"/>
                <w:kern w:val="0"/>
              </w:rPr>
              <w:t>股东会的召集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0A0FA88A" w14:textId="5C6AA36C"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4" w:history="1">
            <w:r w:rsidRPr="00383899">
              <w:rPr>
                <w:rStyle w:val="af1"/>
                <w:rFonts w:hint="eastAsia"/>
                <w:noProof/>
                <w:snapToGrid w:val="0"/>
                <w:kern w:val="0"/>
              </w:rPr>
              <w:t>第五节</w:t>
            </w:r>
            <w:r w:rsidRPr="00383899">
              <w:rPr>
                <w:rStyle w:val="af1"/>
                <w:rFonts w:hint="eastAsia"/>
                <w:noProof/>
                <w:snapToGrid w:val="0"/>
                <w:kern w:val="0"/>
              </w:rPr>
              <w:t xml:space="preserve"> </w:t>
            </w:r>
            <w:r w:rsidRPr="00383899">
              <w:rPr>
                <w:rStyle w:val="af1"/>
                <w:rFonts w:hint="eastAsia"/>
                <w:noProof/>
                <w:snapToGrid w:val="0"/>
                <w:kern w:val="0"/>
              </w:rPr>
              <w:t>股东会的提案与通知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15C16D35" w14:textId="2DDFF7FC"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5" w:history="1">
            <w:r w:rsidRPr="00383899">
              <w:rPr>
                <w:rStyle w:val="af1"/>
                <w:rFonts w:hint="eastAsia"/>
                <w:noProof/>
                <w:snapToGrid w:val="0"/>
                <w:kern w:val="0"/>
              </w:rPr>
              <w:t>第六节</w:t>
            </w:r>
            <w:r w:rsidRPr="00383899">
              <w:rPr>
                <w:rStyle w:val="af1"/>
                <w:rFonts w:hint="eastAsia"/>
                <w:noProof/>
                <w:snapToGrid w:val="0"/>
                <w:kern w:val="0"/>
              </w:rPr>
              <w:t xml:space="preserve"> </w:t>
            </w:r>
            <w:r w:rsidRPr="00383899">
              <w:rPr>
                <w:rStyle w:val="af1"/>
                <w:rFonts w:hint="eastAsia"/>
                <w:noProof/>
                <w:snapToGrid w:val="0"/>
                <w:kern w:val="0"/>
              </w:rPr>
              <w:t>股东会的召开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8875123" w14:textId="23F5B9B0"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6" w:history="1">
            <w:r w:rsidRPr="00383899">
              <w:rPr>
                <w:rStyle w:val="af1"/>
                <w:rFonts w:hint="eastAsia"/>
                <w:noProof/>
                <w:snapToGrid w:val="0"/>
                <w:kern w:val="0"/>
              </w:rPr>
              <w:t>第七节</w:t>
            </w:r>
            <w:r w:rsidRPr="00383899">
              <w:rPr>
                <w:rStyle w:val="af1"/>
                <w:rFonts w:hint="eastAsia"/>
                <w:noProof/>
                <w:snapToGrid w:val="0"/>
                <w:kern w:val="0"/>
              </w:rPr>
              <w:t xml:space="preserve"> </w:t>
            </w:r>
            <w:r w:rsidRPr="00383899">
              <w:rPr>
                <w:rStyle w:val="af1"/>
                <w:rFonts w:hint="eastAsia"/>
                <w:noProof/>
                <w:snapToGrid w:val="0"/>
                <w:kern w:val="0"/>
              </w:rPr>
              <w:t>股东会的表决和决议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3A407F1C" w14:textId="769A6304"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27" w:history="1">
            <w:r w:rsidRPr="00383899">
              <w:rPr>
                <w:rStyle w:val="af1"/>
                <w:rFonts w:hint="eastAsia"/>
                <w:noProof/>
              </w:rPr>
              <w:t>第五章</w:t>
            </w:r>
            <w:r w:rsidRPr="00383899">
              <w:rPr>
                <w:rStyle w:val="af1"/>
                <w:rFonts w:hint="eastAsia"/>
                <w:noProof/>
              </w:rPr>
              <w:t xml:space="preserve"> </w:t>
            </w:r>
            <w:r w:rsidRPr="00383899">
              <w:rPr>
                <w:rStyle w:val="af1"/>
                <w:rFonts w:hint="eastAsia"/>
                <w:noProof/>
              </w:rPr>
              <w:t>董事会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57593561" w14:textId="6846EF5E"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8" w:history="1">
            <w:r w:rsidRPr="00383899">
              <w:rPr>
                <w:rStyle w:val="af1"/>
                <w:rFonts w:hint="eastAsia"/>
                <w:noProof/>
                <w:snapToGrid w:val="0"/>
                <w:kern w:val="0"/>
              </w:rPr>
              <w:t>第一节</w:t>
            </w:r>
            <w:r w:rsidRPr="00383899">
              <w:rPr>
                <w:rStyle w:val="af1"/>
                <w:rFonts w:hint="eastAsia"/>
                <w:noProof/>
                <w:snapToGrid w:val="0"/>
                <w:kern w:val="0"/>
              </w:rPr>
              <w:t xml:space="preserve"> </w:t>
            </w:r>
            <w:r w:rsidRPr="00383899">
              <w:rPr>
                <w:rStyle w:val="af1"/>
                <w:rFonts w:hint="eastAsia"/>
                <w:noProof/>
                <w:snapToGrid w:val="0"/>
                <w:kern w:val="0"/>
              </w:rPr>
              <w:t>董事的一般规定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1461ACC6" w14:textId="03FBC5AE"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29" w:history="1">
            <w:r w:rsidRPr="00383899">
              <w:rPr>
                <w:rStyle w:val="af1"/>
                <w:rFonts w:hint="eastAsia"/>
                <w:noProof/>
                <w:snapToGrid w:val="0"/>
                <w:kern w:val="0"/>
              </w:rPr>
              <w:t>第二节</w:t>
            </w:r>
            <w:r w:rsidRPr="00383899">
              <w:rPr>
                <w:rStyle w:val="af1"/>
                <w:rFonts w:hint="eastAsia"/>
                <w:noProof/>
                <w:snapToGrid w:val="0"/>
                <w:kern w:val="0"/>
              </w:rPr>
              <w:t xml:space="preserve"> </w:t>
            </w:r>
            <w:r w:rsidRPr="00383899">
              <w:rPr>
                <w:rStyle w:val="af1"/>
                <w:rFonts w:hint="eastAsia"/>
                <w:noProof/>
                <w:snapToGrid w:val="0"/>
                <w:kern w:val="0"/>
              </w:rPr>
              <w:t>董事会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28</w:t>
            </w:r>
            <w:r>
              <w:rPr>
                <w:rFonts w:hint="eastAsia"/>
                <w:noProof/>
                <w:webHidden/>
              </w:rPr>
              <w:fldChar w:fldCharType="end"/>
            </w:r>
          </w:hyperlink>
        </w:p>
        <w:p w14:paraId="022DD5F1" w14:textId="34753B7C"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30" w:history="1">
            <w:r w:rsidRPr="00383899">
              <w:rPr>
                <w:rStyle w:val="af1"/>
                <w:rFonts w:hint="eastAsia"/>
                <w:noProof/>
                <w:snapToGrid w:val="0"/>
                <w:kern w:val="0"/>
              </w:rPr>
              <w:t>第三节</w:t>
            </w:r>
            <w:r w:rsidRPr="00383899">
              <w:rPr>
                <w:rStyle w:val="af1"/>
                <w:rFonts w:hint="eastAsia"/>
                <w:noProof/>
                <w:snapToGrid w:val="0"/>
                <w:kern w:val="0"/>
              </w:rPr>
              <w:t xml:space="preserve">  </w:t>
            </w:r>
            <w:r w:rsidRPr="00383899">
              <w:rPr>
                <w:rStyle w:val="af1"/>
                <w:rFonts w:hint="eastAsia"/>
                <w:noProof/>
                <w:snapToGrid w:val="0"/>
                <w:kern w:val="0"/>
              </w:rPr>
              <w:t>独立董事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32</w:t>
            </w:r>
            <w:r>
              <w:rPr>
                <w:rFonts w:hint="eastAsia"/>
                <w:noProof/>
                <w:webHidden/>
              </w:rPr>
              <w:fldChar w:fldCharType="end"/>
            </w:r>
          </w:hyperlink>
        </w:p>
        <w:p w14:paraId="33751FE5" w14:textId="5DC24A97"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31" w:history="1">
            <w:r w:rsidRPr="00383899">
              <w:rPr>
                <w:rStyle w:val="af1"/>
                <w:rFonts w:hint="eastAsia"/>
                <w:noProof/>
                <w:snapToGrid w:val="0"/>
                <w:kern w:val="0"/>
              </w:rPr>
              <w:t>第四节</w:t>
            </w:r>
            <w:r w:rsidRPr="00383899">
              <w:rPr>
                <w:rStyle w:val="af1"/>
                <w:rFonts w:hint="eastAsia"/>
                <w:noProof/>
                <w:snapToGrid w:val="0"/>
                <w:kern w:val="0"/>
              </w:rPr>
              <w:t xml:space="preserve"> </w:t>
            </w:r>
            <w:r w:rsidRPr="00383899">
              <w:rPr>
                <w:rStyle w:val="af1"/>
                <w:rFonts w:hint="eastAsia"/>
                <w:noProof/>
                <w:snapToGrid w:val="0"/>
                <w:kern w:val="0"/>
              </w:rPr>
              <w:t>董事会专门委员会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2F556784" w14:textId="7FCDA4E7"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32" w:history="1">
            <w:r w:rsidRPr="00383899">
              <w:rPr>
                <w:rStyle w:val="af1"/>
                <w:rFonts w:hint="eastAsia"/>
                <w:noProof/>
              </w:rPr>
              <w:t>第六章</w:t>
            </w:r>
            <w:r w:rsidRPr="00383899">
              <w:rPr>
                <w:rStyle w:val="af1"/>
                <w:rFonts w:hint="eastAsia"/>
                <w:noProof/>
              </w:rPr>
              <w:t xml:space="preserve"> </w:t>
            </w:r>
            <w:r w:rsidRPr="00383899">
              <w:rPr>
                <w:rStyle w:val="af1"/>
                <w:rFonts w:hint="eastAsia"/>
                <w:noProof/>
              </w:rPr>
              <w:t>高级管理人员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37</w:t>
            </w:r>
            <w:r>
              <w:rPr>
                <w:rFonts w:hint="eastAsia"/>
                <w:noProof/>
                <w:webHidden/>
              </w:rPr>
              <w:fldChar w:fldCharType="end"/>
            </w:r>
          </w:hyperlink>
        </w:p>
        <w:p w14:paraId="7A70FCD4" w14:textId="10595A99"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33" w:history="1">
            <w:r w:rsidRPr="00383899">
              <w:rPr>
                <w:rStyle w:val="af1"/>
                <w:rFonts w:hint="eastAsia"/>
                <w:noProof/>
              </w:rPr>
              <w:t>第七章</w:t>
            </w:r>
            <w:r w:rsidRPr="00383899">
              <w:rPr>
                <w:rStyle w:val="af1"/>
                <w:rFonts w:hint="eastAsia"/>
                <w:noProof/>
              </w:rPr>
              <w:t xml:space="preserve"> </w:t>
            </w:r>
            <w:r w:rsidRPr="00383899">
              <w:rPr>
                <w:rStyle w:val="af1"/>
                <w:rFonts w:ascii="宋体" w:hAnsi="宋体" w:cs="宋体" w:hint="eastAsia"/>
                <w:noProof/>
                <w:kern w:val="0"/>
              </w:rPr>
              <w:t>党建工作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5BA054F7" w14:textId="379C744C"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34" w:history="1">
            <w:r w:rsidRPr="00383899">
              <w:rPr>
                <w:rStyle w:val="af1"/>
                <w:rFonts w:hint="eastAsia"/>
                <w:noProof/>
              </w:rPr>
              <w:t>第八章</w:t>
            </w:r>
            <w:r w:rsidRPr="00383899">
              <w:rPr>
                <w:rStyle w:val="af1"/>
                <w:rFonts w:hint="eastAsia"/>
                <w:noProof/>
              </w:rPr>
              <w:t xml:space="preserve"> </w:t>
            </w:r>
            <w:r w:rsidRPr="00383899">
              <w:rPr>
                <w:rStyle w:val="af1"/>
                <w:rFonts w:hint="eastAsia"/>
                <w:noProof/>
              </w:rPr>
              <w:t>财务会计制度、利润分配和审计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30E85CA0" w14:textId="44CB5B0F"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35" w:history="1">
            <w:r w:rsidRPr="00383899">
              <w:rPr>
                <w:rStyle w:val="af1"/>
                <w:rFonts w:hint="eastAsia"/>
                <w:noProof/>
                <w:snapToGrid w:val="0"/>
                <w:kern w:val="0"/>
              </w:rPr>
              <w:t>第一节</w:t>
            </w:r>
            <w:r w:rsidRPr="00383899">
              <w:rPr>
                <w:rStyle w:val="af1"/>
                <w:rFonts w:hint="eastAsia"/>
                <w:noProof/>
                <w:snapToGrid w:val="0"/>
                <w:kern w:val="0"/>
              </w:rPr>
              <w:t xml:space="preserve"> </w:t>
            </w:r>
            <w:r w:rsidRPr="00383899">
              <w:rPr>
                <w:rStyle w:val="af1"/>
                <w:rFonts w:hint="eastAsia"/>
                <w:noProof/>
                <w:snapToGrid w:val="0"/>
                <w:kern w:val="0"/>
              </w:rPr>
              <w:t>财务会计制度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5D36383F" w14:textId="395142FA"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36" w:history="1">
            <w:r w:rsidRPr="00383899">
              <w:rPr>
                <w:rStyle w:val="af1"/>
                <w:rFonts w:hint="eastAsia"/>
                <w:noProof/>
                <w:snapToGrid w:val="0"/>
                <w:kern w:val="0"/>
              </w:rPr>
              <w:t>第二节</w:t>
            </w:r>
            <w:r w:rsidRPr="00383899">
              <w:rPr>
                <w:rStyle w:val="af1"/>
                <w:rFonts w:hint="eastAsia"/>
                <w:noProof/>
                <w:snapToGrid w:val="0"/>
                <w:kern w:val="0"/>
              </w:rPr>
              <w:t xml:space="preserve"> </w:t>
            </w:r>
            <w:r w:rsidRPr="00383899">
              <w:rPr>
                <w:rStyle w:val="af1"/>
                <w:rFonts w:hint="eastAsia"/>
                <w:noProof/>
                <w:snapToGrid w:val="0"/>
                <w:kern w:val="0"/>
              </w:rPr>
              <w:t>内部审计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0418A5BA" w14:textId="2F27BA56"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37" w:history="1">
            <w:r w:rsidRPr="00383899">
              <w:rPr>
                <w:rStyle w:val="af1"/>
                <w:rFonts w:hint="eastAsia"/>
                <w:noProof/>
                <w:snapToGrid w:val="0"/>
                <w:kern w:val="0"/>
              </w:rPr>
              <w:t>第三节</w:t>
            </w:r>
            <w:r w:rsidRPr="00383899">
              <w:rPr>
                <w:rStyle w:val="af1"/>
                <w:rFonts w:hint="eastAsia"/>
                <w:noProof/>
                <w:snapToGrid w:val="0"/>
                <w:kern w:val="0"/>
              </w:rPr>
              <w:t xml:space="preserve"> </w:t>
            </w:r>
            <w:r w:rsidRPr="00383899">
              <w:rPr>
                <w:rStyle w:val="af1"/>
                <w:rFonts w:hint="eastAsia"/>
                <w:noProof/>
                <w:snapToGrid w:val="0"/>
                <w:kern w:val="0"/>
              </w:rPr>
              <w:t>会计师事务所的聘任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409A8612" w14:textId="65F4EA8F"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38" w:history="1">
            <w:r w:rsidRPr="00383899">
              <w:rPr>
                <w:rStyle w:val="af1"/>
                <w:rFonts w:hint="eastAsia"/>
                <w:noProof/>
              </w:rPr>
              <w:t>第九章</w:t>
            </w:r>
            <w:r w:rsidRPr="00383899">
              <w:rPr>
                <w:rStyle w:val="af1"/>
                <w:rFonts w:hint="eastAsia"/>
                <w:noProof/>
              </w:rPr>
              <w:t xml:space="preserve"> </w:t>
            </w:r>
            <w:r w:rsidRPr="00383899">
              <w:rPr>
                <w:rStyle w:val="af1"/>
                <w:rFonts w:hint="eastAsia"/>
                <w:noProof/>
              </w:rPr>
              <w:t>通知和公告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03162E8B" w14:textId="02618E9C"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39" w:history="1">
            <w:r w:rsidRPr="00383899">
              <w:rPr>
                <w:rStyle w:val="af1"/>
                <w:rFonts w:hint="eastAsia"/>
                <w:noProof/>
                <w:snapToGrid w:val="0"/>
                <w:kern w:val="0"/>
              </w:rPr>
              <w:t>第一节</w:t>
            </w:r>
            <w:r w:rsidRPr="00383899">
              <w:rPr>
                <w:rStyle w:val="af1"/>
                <w:rFonts w:hint="eastAsia"/>
                <w:noProof/>
                <w:snapToGrid w:val="0"/>
                <w:kern w:val="0"/>
              </w:rPr>
              <w:t xml:space="preserve"> </w:t>
            </w:r>
            <w:r w:rsidRPr="00383899">
              <w:rPr>
                <w:rStyle w:val="af1"/>
                <w:rFonts w:hint="eastAsia"/>
                <w:noProof/>
                <w:snapToGrid w:val="0"/>
                <w:kern w:val="0"/>
              </w:rPr>
              <w:t>通知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45</w:t>
            </w:r>
            <w:r>
              <w:rPr>
                <w:rFonts w:hint="eastAsia"/>
                <w:noProof/>
                <w:webHidden/>
              </w:rPr>
              <w:fldChar w:fldCharType="end"/>
            </w:r>
          </w:hyperlink>
        </w:p>
        <w:p w14:paraId="05044159" w14:textId="278BD161"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40" w:history="1">
            <w:r w:rsidRPr="00383899">
              <w:rPr>
                <w:rStyle w:val="af1"/>
                <w:rFonts w:hint="eastAsia"/>
                <w:noProof/>
                <w:snapToGrid w:val="0"/>
                <w:kern w:val="0"/>
              </w:rPr>
              <w:t>第二节</w:t>
            </w:r>
            <w:r w:rsidRPr="00383899">
              <w:rPr>
                <w:rStyle w:val="af1"/>
                <w:rFonts w:hint="eastAsia"/>
                <w:noProof/>
                <w:snapToGrid w:val="0"/>
                <w:kern w:val="0"/>
              </w:rPr>
              <w:t xml:space="preserve"> </w:t>
            </w:r>
            <w:r w:rsidRPr="00383899">
              <w:rPr>
                <w:rStyle w:val="af1"/>
                <w:rFonts w:hint="eastAsia"/>
                <w:noProof/>
                <w:snapToGrid w:val="0"/>
                <w:kern w:val="0"/>
              </w:rPr>
              <w:t>公告</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0F4BA551" w14:textId="36C0C3DB"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41" w:history="1">
            <w:r w:rsidRPr="00383899">
              <w:rPr>
                <w:rStyle w:val="af1"/>
                <w:rFonts w:hint="eastAsia"/>
                <w:noProof/>
              </w:rPr>
              <w:t>第十章</w:t>
            </w:r>
            <w:r w:rsidRPr="00383899">
              <w:rPr>
                <w:rStyle w:val="af1"/>
                <w:rFonts w:hint="eastAsia"/>
                <w:noProof/>
              </w:rPr>
              <w:t xml:space="preserve"> </w:t>
            </w:r>
            <w:r w:rsidRPr="00383899">
              <w:rPr>
                <w:rStyle w:val="af1"/>
                <w:rFonts w:hint="eastAsia"/>
                <w:noProof/>
              </w:rPr>
              <w:t>合并、分立、增资、减资、解散和清算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6411BE73" w14:textId="0C59D53F"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42" w:history="1">
            <w:r w:rsidRPr="00383899">
              <w:rPr>
                <w:rStyle w:val="af1"/>
                <w:rFonts w:hint="eastAsia"/>
                <w:noProof/>
                <w:snapToGrid w:val="0"/>
                <w:kern w:val="0"/>
              </w:rPr>
              <w:t>第一节</w:t>
            </w:r>
            <w:r w:rsidRPr="00383899">
              <w:rPr>
                <w:rStyle w:val="af1"/>
                <w:rFonts w:hint="eastAsia"/>
                <w:noProof/>
                <w:snapToGrid w:val="0"/>
                <w:kern w:val="0"/>
              </w:rPr>
              <w:t xml:space="preserve"> </w:t>
            </w:r>
            <w:r w:rsidRPr="00383899">
              <w:rPr>
                <w:rStyle w:val="af1"/>
                <w:rFonts w:hint="eastAsia"/>
                <w:noProof/>
                <w:snapToGrid w:val="0"/>
                <w:kern w:val="0"/>
              </w:rPr>
              <w:t>合并、分立、增资和减资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17C42EEA" w14:textId="2DAE36C8" w:rsidR="00292011" w:rsidRDefault="00292011">
          <w:pPr>
            <w:pStyle w:val="TOC2"/>
            <w:tabs>
              <w:tab w:val="right" w:leader="dot" w:pos="8296"/>
            </w:tabs>
            <w:rPr>
              <w:rFonts w:asciiTheme="minorHAnsi" w:eastAsiaTheme="minorEastAsia" w:hAnsiTheme="minorHAnsi" w:cstheme="minorBidi"/>
              <w:noProof/>
              <w:sz w:val="22"/>
              <w:szCs w:val="24"/>
              <w14:ligatures w14:val="standardContextual"/>
            </w:rPr>
          </w:pPr>
          <w:hyperlink w:anchor="_Toc212813243" w:history="1">
            <w:r w:rsidRPr="00383899">
              <w:rPr>
                <w:rStyle w:val="af1"/>
                <w:rFonts w:hint="eastAsia"/>
                <w:noProof/>
                <w:snapToGrid w:val="0"/>
                <w:kern w:val="0"/>
              </w:rPr>
              <w:t>第二节</w:t>
            </w:r>
            <w:r w:rsidRPr="00383899">
              <w:rPr>
                <w:rStyle w:val="af1"/>
                <w:rFonts w:hint="eastAsia"/>
                <w:noProof/>
                <w:snapToGrid w:val="0"/>
                <w:kern w:val="0"/>
              </w:rPr>
              <w:t xml:space="preserve"> </w:t>
            </w:r>
            <w:r w:rsidRPr="00383899">
              <w:rPr>
                <w:rStyle w:val="af1"/>
                <w:rFonts w:hint="eastAsia"/>
                <w:noProof/>
                <w:snapToGrid w:val="0"/>
                <w:kern w:val="0"/>
              </w:rPr>
              <w:t>解散和清算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47</w:t>
            </w:r>
            <w:r>
              <w:rPr>
                <w:rFonts w:hint="eastAsia"/>
                <w:noProof/>
                <w:webHidden/>
              </w:rPr>
              <w:fldChar w:fldCharType="end"/>
            </w:r>
          </w:hyperlink>
        </w:p>
        <w:p w14:paraId="5C487CCE" w14:textId="1A8089D0"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44" w:history="1">
            <w:r w:rsidRPr="00383899">
              <w:rPr>
                <w:rStyle w:val="af1"/>
                <w:rFonts w:hint="eastAsia"/>
                <w:noProof/>
              </w:rPr>
              <w:t>第十一章</w:t>
            </w:r>
            <w:r w:rsidRPr="00383899">
              <w:rPr>
                <w:rStyle w:val="af1"/>
                <w:rFonts w:hint="eastAsia"/>
                <w:noProof/>
              </w:rPr>
              <w:t xml:space="preserve"> </w:t>
            </w:r>
            <w:r w:rsidRPr="00383899">
              <w:rPr>
                <w:rStyle w:val="af1"/>
                <w:rFonts w:hint="eastAsia"/>
                <w:noProof/>
              </w:rPr>
              <w:t>修改章程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63E8D4B5" w14:textId="6817A614" w:rsidR="00292011" w:rsidRDefault="00292011">
          <w:pPr>
            <w:pStyle w:val="TOC1"/>
            <w:tabs>
              <w:tab w:val="right" w:leader="dot" w:pos="8296"/>
            </w:tabs>
            <w:rPr>
              <w:rFonts w:asciiTheme="minorHAnsi" w:eastAsiaTheme="minorEastAsia" w:hAnsiTheme="minorHAnsi" w:cstheme="minorBidi"/>
              <w:noProof/>
              <w:sz w:val="22"/>
              <w:szCs w:val="24"/>
              <w14:ligatures w14:val="standardContextual"/>
            </w:rPr>
          </w:pPr>
          <w:hyperlink w:anchor="_Toc212813245" w:history="1">
            <w:r w:rsidRPr="00383899">
              <w:rPr>
                <w:rStyle w:val="af1"/>
                <w:rFonts w:hint="eastAsia"/>
                <w:noProof/>
              </w:rPr>
              <w:t>第十二章</w:t>
            </w:r>
            <w:r w:rsidRPr="00383899">
              <w:rPr>
                <w:rStyle w:val="af1"/>
                <w:rFonts w:hint="eastAsia"/>
                <w:noProof/>
              </w:rPr>
              <w:t xml:space="preserve"> </w:t>
            </w:r>
            <w:r w:rsidRPr="00383899">
              <w:rPr>
                <w:rStyle w:val="af1"/>
                <w:rFonts w:hint="eastAsia"/>
                <w:noProof/>
              </w:rPr>
              <w:t>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_Toc212813245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28D754EC" w14:textId="6E4B3F61" w:rsidR="00292011" w:rsidRDefault="00292011">
          <w:r>
            <w:rPr>
              <w:b/>
              <w:bCs/>
              <w:lang w:val="zh-CN"/>
            </w:rPr>
            <w:fldChar w:fldCharType="end"/>
          </w:r>
        </w:p>
      </w:sdtContent>
    </w:sdt>
    <w:p w14:paraId="3B15DBC7" w14:textId="00B570DF" w:rsidR="005A4DB3" w:rsidRDefault="00F11E53">
      <w:pPr>
        <w:adjustRightInd w:val="0"/>
        <w:snapToGrid w:val="0"/>
        <w:jc w:val="center"/>
        <w:rPr>
          <w:rFonts w:ascii="宋体" w:hAnsi="宋体" w:cs="Arial" w:hint="eastAsia"/>
          <w:b/>
          <w:spacing w:val="4"/>
          <w:sz w:val="36"/>
          <w:szCs w:val="36"/>
        </w:rPr>
      </w:pPr>
      <w:r>
        <w:rPr>
          <w:rFonts w:ascii="宋体" w:hAnsi="宋体" w:cs="Arial"/>
          <w:snapToGrid w:val="0"/>
          <w:kern w:val="0"/>
          <w:sz w:val="24"/>
        </w:rPr>
        <w:br w:type="page"/>
      </w:r>
      <w:r>
        <w:rPr>
          <w:rFonts w:ascii="宋体" w:hAnsi="宋体" w:cs="Arial" w:hint="eastAsia"/>
          <w:b/>
          <w:spacing w:val="4"/>
          <w:sz w:val="36"/>
          <w:szCs w:val="36"/>
        </w:rPr>
        <w:lastRenderedPageBreak/>
        <w:t>安徽省交通建设股份有限公司章程</w:t>
      </w:r>
    </w:p>
    <w:p w14:paraId="509D3763" w14:textId="77777777" w:rsidR="005A4DB3" w:rsidRDefault="00F11E53">
      <w:pPr>
        <w:spacing w:beforeLines="50" w:before="156" w:afterLines="50" w:after="156" w:line="360" w:lineRule="auto"/>
        <w:jc w:val="center"/>
        <w:rPr>
          <w:rFonts w:ascii="宋体" w:hAnsi="宋体" w:cs="Arial" w:hint="eastAsia"/>
          <w:b/>
          <w:spacing w:val="4"/>
          <w:sz w:val="32"/>
          <w:szCs w:val="32"/>
        </w:rPr>
      </w:pPr>
      <w:r>
        <w:rPr>
          <w:rFonts w:ascii="宋体" w:hAnsi="宋体" w:cs="Arial" w:hint="eastAsia"/>
          <w:b/>
          <w:spacing w:val="4"/>
          <w:sz w:val="32"/>
          <w:szCs w:val="32"/>
        </w:rPr>
        <w:t xml:space="preserve"> </w:t>
      </w:r>
    </w:p>
    <w:p w14:paraId="3A629F7E" w14:textId="77777777" w:rsidR="005A4DB3" w:rsidRDefault="00F11E53">
      <w:pPr>
        <w:pStyle w:val="1"/>
        <w:spacing w:beforeLines="50" w:before="156" w:afterLines="50" w:after="156" w:line="360" w:lineRule="auto"/>
      </w:pPr>
      <w:bookmarkStart w:id="0" w:name="_Toc414213705"/>
      <w:bookmarkStart w:id="1" w:name="_Toc495415935"/>
      <w:bookmarkStart w:id="2" w:name="_Toc212813213"/>
      <w:r>
        <w:t>第一章</w:t>
      </w:r>
      <w:r>
        <w:t xml:space="preserve"> </w:t>
      </w:r>
      <w:r>
        <w:t>总则</w:t>
      </w:r>
      <w:bookmarkEnd w:id="0"/>
      <w:bookmarkEnd w:id="1"/>
      <w:bookmarkEnd w:id="2"/>
    </w:p>
    <w:p w14:paraId="748D6608" w14:textId="67D4C77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z w:val="24"/>
          <w:szCs w:val="24"/>
        </w:rPr>
      </w:pPr>
      <w:r>
        <w:rPr>
          <w:rFonts w:ascii="宋体" w:hAnsi="宋体" w:cs="Arial" w:hint="eastAsia"/>
          <w:sz w:val="24"/>
          <w:szCs w:val="24"/>
        </w:rPr>
        <w:t xml:space="preserve"> 为维护</w:t>
      </w:r>
      <w:r>
        <w:rPr>
          <w:rFonts w:ascii="宋体" w:hAnsi="宋体" w:cs="Arial" w:hint="eastAsia"/>
          <w:sz w:val="24"/>
        </w:rPr>
        <w:t>安徽省交通建设股份有限公司</w:t>
      </w:r>
      <w:r>
        <w:rPr>
          <w:rFonts w:ascii="宋体" w:hAnsi="宋体" w:cs="Arial"/>
          <w:color w:val="000000"/>
          <w:sz w:val="24"/>
          <w:szCs w:val="24"/>
        </w:rPr>
        <w:t>（以下简</w:t>
      </w:r>
      <w:r>
        <w:rPr>
          <w:rFonts w:ascii="宋体" w:hAnsi="宋体" w:cs="Arial"/>
          <w:sz w:val="24"/>
          <w:szCs w:val="24"/>
        </w:rPr>
        <w:t>称“公司”或“本公司”）</w:t>
      </w:r>
      <w:r>
        <w:rPr>
          <w:rFonts w:ascii="宋体" w:hAnsi="宋体" w:cs="Arial" w:hint="eastAsia"/>
          <w:sz w:val="24"/>
          <w:szCs w:val="24"/>
        </w:rPr>
        <w:t>、股东、职工和债权人的合法权益，</w:t>
      </w:r>
      <w:r>
        <w:rPr>
          <w:rFonts w:ascii="宋体" w:hAnsi="宋体" w:cs="Arial"/>
          <w:color w:val="000000"/>
          <w:sz w:val="24"/>
          <w:szCs w:val="24"/>
        </w:rPr>
        <w:t>规范</w:t>
      </w:r>
      <w:r>
        <w:rPr>
          <w:rFonts w:ascii="宋体" w:hAnsi="宋体" w:cs="Arial" w:hint="eastAsia"/>
          <w:color w:val="000000"/>
          <w:sz w:val="24"/>
          <w:szCs w:val="24"/>
        </w:rPr>
        <w:t>公司</w:t>
      </w:r>
      <w:r>
        <w:rPr>
          <w:rFonts w:ascii="宋体" w:hAnsi="宋体" w:cs="Arial"/>
          <w:sz w:val="24"/>
          <w:szCs w:val="24"/>
        </w:rPr>
        <w:t>的组织和行为，根据《中华人民共和国公司法》（以下简称</w:t>
      </w:r>
      <w:r>
        <w:rPr>
          <w:rFonts w:ascii="宋体" w:hAnsi="宋体" w:cs="Arial" w:hint="eastAsia"/>
          <w:sz w:val="24"/>
          <w:szCs w:val="24"/>
        </w:rPr>
        <w:t>“</w:t>
      </w:r>
      <w:r>
        <w:rPr>
          <w:rFonts w:ascii="宋体" w:hAnsi="宋体" w:cs="Arial"/>
          <w:sz w:val="24"/>
          <w:szCs w:val="24"/>
        </w:rPr>
        <w:t>《公司法》</w:t>
      </w:r>
      <w:r>
        <w:rPr>
          <w:rFonts w:ascii="宋体" w:hAnsi="宋体" w:cs="Arial" w:hint="eastAsia"/>
          <w:sz w:val="24"/>
          <w:szCs w:val="24"/>
        </w:rPr>
        <w:t>”</w:t>
      </w:r>
      <w:r>
        <w:rPr>
          <w:rFonts w:ascii="宋体" w:hAnsi="宋体" w:cs="Arial"/>
          <w:sz w:val="24"/>
          <w:szCs w:val="24"/>
        </w:rPr>
        <w:t>）、《中华人民共和国证券法》（以下简称</w:t>
      </w:r>
      <w:r w:rsidR="00785EB4">
        <w:rPr>
          <w:rFonts w:ascii="宋体" w:hAnsi="宋体" w:cs="Arial" w:hint="eastAsia"/>
          <w:sz w:val="24"/>
          <w:szCs w:val="24"/>
        </w:rPr>
        <w:t>“</w:t>
      </w:r>
      <w:r>
        <w:rPr>
          <w:rFonts w:ascii="宋体" w:hAnsi="宋体" w:cs="Arial"/>
          <w:sz w:val="24"/>
          <w:szCs w:val="24"/>
        </w:rPr>
        <w:t>《证券法》</w:t>
      </w:r>
      <w:r w:rsidR="00785EB4">
        <w:rPr>
          <w:rFonts w:ascii="宋体" w:hAnsi="宋体" w:cs="Arial" w:hint="eastAsia"/>
          <w:sz w:val="24"/>
          <w:szCs w:val="24"/>
        </w:rPr>
        <w:t>”</w:t>
      </w:r>
      <w:r>
        <w:rPr>
          <w:rFonts w:ascii="宋体" w:hAnsi="宋体" w:cs="Arial"/>
          <w:sz w:val="24"/>
          <w:szCs w:val="24"/>
        </w:rPr>
        <w:t>）和其他有关规定，</w:t>
      </w:r>
      <w:r>
        <w:rPr>
          <w:rFonts w:ascii="宋体" w:hAnsi="宋体" w:cs="Arial" w:hint="eastAsia"/>
          <w:sz w:val="24"/>
          <w:szCs w:val="24"/>
        </w:rPr>
        <w:t>制定</w:t>
      </w:r>
      <w:r>
        <w:rPr>
          <w:rFonts w:ascii="宋体" w:hAnsi="宋体" w:cs="Arial"/>
          <w:sz w:val="24"/>
          <w:szCs w:val="24"/>
        </w:rPr>
        <w:t>本章程。</w:t>
      </w:r>
    </w:p>
    <w:p w14:paraId="6F904920"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z w:val="24"/>
        </w:rPr>
        <w:t xml:space="preserve"> 公司系依照《公司法》和其他有关规定成立的股份有限公司。</w:t>
      </w:r>
    </w:p>
    <w:p w14:paraId="0D523329" w14:textId="4D22828A"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z w:val="24"/>
        </w:rPr>
        <w:t>公司以发起设立的方式成立，在安徽省市场监督管理局注册登记，取得营业执照，统一社会</w:t>
      </w:r>
      <w:r>
        <w:rPr>
          <w:rFonts w:ascii="宋体" w:hAnsi="宋体" w:cs="Arial"/>
          <w:sz w:val="24"/>
        </w:rPr>
        <w:t>信用</w:t>
      </w:r>
      <w:r>
        <w:rPr>
          <w:rFonts w:ascii="宋体" w:hAnsi="宋体" w:cs="Arial" w:hint="eastAsia"/>
          <w:sz w:val="24"/>
        </w:rPr>
        <w:t>代码</w:t>
      </w:r>
      <w:r>
        <w:rPr>
          <w:rFonts w:ascii="宋体" w:hAnsi="宋体" w:cs="Arial"/>
          <w:sz w:val="24"/>
        </w:rPr>
        <w:t>为</w:t>
      </w:r>
      <w:r>
        <w:rPr>
          <w:rFonts w:ascii="宋体" w:hAnsi="宋体" w:cs="Arial" w:hint="eastAsia"/>
          <w:sz w:val="24"/>
        </w:rPr>
        <w:t>：</w:t>
      </w:r>
      <w:r>
        <w:rPr>
          <w:rFonts w:ascii="宋体" w:hAnsi="宋体" w:cs="Arial"/>
          <w:sz w:val="24"/>
        </w:rPr>
        <w:t>913400001489533507</w:t>
      </w:r>
      <w:r>
        <w:rPr>
          <w:rFonts w:ascii="宋体" w:hAnsi="宋体" w:cs="Arial" w:hint="eastAsia"/>
          <w:sz w:val="24"/>
        </w:rPr>
        <w:t>。</w:t>
      </w:r>
    </w:p>
    <w:p w14:paraId="258159FA"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公司于2019年8月27日经中国证券监督管理委员会批准，首次向社会公众发行人民币普通股4,990万股，于2019年10月21日在上海证券交易所（以下简称“证券交易所”）上市。</w:t>
      </w:r>
    </w:p>
    <w:p w14:paraId="6E659A7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color w:val="000000"/>
          <w:kern w:val="0"/>
          <w:sz w:val="24"/>
        </w:rPr>
      </w:pPr>
      <w:r>
        <w:rPr>
          <w:rFonts w:ascii="宋体" w:hAnsi="宋体" w:cs="Arial" w:hint="eastAsia"/>
          <w:color w:val="000000"/>
          <w:sz w:val="24"/>
        </w:rPr>
        <w:t xml:space="preserve"> </w:t>
      </w:r>
      <w:r>
        <w:rPr>
          <w:rFonts w:ascii="宋体" w:hAnsi="宋体" w:cs="Arial"/>
          <w:color w:val="000000"/>
          <w:sz w:val="24"/>
        </w:rPr>
        <w:t>公司注册名称：</w:t>
      </w:r>
      <w:r>
        <w:rPr>
          <w:rFonts w:ascii="宋体" w:hAnsi="宋体" w:cs="Arial" w:hint="eastAsia"/>
          <w:sz w:val="24"/>
        </w:rPr>
        <w:t>安徽省交通建设股份有限公司</w:t>
      </w:r>
    </w:p>
    <w:p w14:paraId="4AE4C956" w14:textId="77777777" w:rsidR="005A4DB3" w:rsidRDefault="00F11E53">
      <w:pPr>
        <w:adjustRightInd w:val="0"/>
        <w:snapToGrid w:val="0"/>
        <w:spacing w:beforeLines="50" w:before="156" w:afterLines="50" w:after="156" w:line="360" w:lineRule="auto"/>
        <w:ind w:firstLineChars="250" w:firstLine="600"/>
        <w:jc w:val="left"/>
        <w:rPr>
          <w:rFonts w:ascii="宋体" w:hAnsi="宋体" w:cs="Arial" w:hint="eastAsia"/>
          <w:color w:val="000000"/>
          <w:sz w:val="24"/>
        </w:rPr>
      </w:pPr>
      <w:r>
        <w:rPr>
          <w:rFonts w:ascii="宋体" w:hAnsi="宋体" w:cs="Arial"/>
          <w:color w:val="000000"/>
          <w:sz w:val="24"/>
        </w:rPr>
        <w:t>英文名称：</w:t>
      </w:r>
      <w:r w:rsidRPr="00292011">
        <w:rPr>
          <w:b/>
          <w:color w:val="000000"/>
          <w:sz w:val="24"/>
        </w:rPr>
        <w:t xml:space="preserve">Anhui </w:t>
      </w:r>
      <w:proofErr w:type="spellStart"/>
      <w:r w:rsidRPr="00292011">
        <w:rPr>
          <w:b/>
          <w:color w:val="000000"/>
          <w:sz w:val="24"/>
        </w:rPr>
        <w:t>Gourgen</w:t>
      </w:r>
      <w:proofErr w:type="spellEnd"/>
      <w:r w:rsidRPr="00292011">
        <w:rPr>
          <w:b/>
          <w:color w:val="000000"/>
          <w:sz w:val="24"/>
        </w:rPr>
        <w:t xml:space="preserve"> Traffic Construction </w:t>
      </w:r>
      <w:proofErr w:type="spellStart"/>
      <w:proofErr w:type="gramStart"/>
      <w:r w:rsidRPr="00292011">
        <w:rPr>
          <w:b/>
          <w:color w:val="000000"/>
          <w:sz w:val="24"/>
        </w:rPr>
        <w:t>Co.,Ltd</w:t>
      </w:r>
      <w:proofErr w:type="spellEnd"/>
      <w:r w:rsidRPr="00292011">
        <w:rPr>
          <w:b/>
          <w:color w:val="000000"/>
          <w:sz w:val="24"/>
        </w:rPr>
        <w:t>.</w:t>
      </w:r>
      <w:proofErr w:type="gramEnd"/>
    </w:p>
    <w:p w14:paraId="460CC1E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color w:val="000000"/>
          <w:sz w:val="24"/>
        </w:rPr>
      </w:pPr>
      <w:r>
        <w:rPr>
          <w:rFonts w:ascii="宋体" w:hAnsi="宋体" w:cs="Arial" w:hint="eastAsia"/>
          <w:sz w:val="24"/>
        </w:rPr>
        <w:t xml:space="preserve"> </w:t>
      </w:r>
      <w:r>
        <w:rPr>
          <w:rFonts w:ascii="宋体" w:hAnsi="宋体" w:cs="Arial"/>
          <w:sz w:val="24"/>
        </w:rPr>
        <w:t>公司住所：</w:t>
      </w:r>
      <w:r>
        <w:rPr>
          <w:rFonts w:ascii="宋体" w:hAnsi="宋体" w:cs="Arial" w:hint="eastAsia"/>
          <w:sz w:val="24"/>
        </w:rPr>
        <w:t>安徽省合肥市庐阳区濉溪路310号，邮政编码：230041。</w:t>
      </w:r>
    </w:p>
    <w:p w14:paraId="7278B18F"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color w:val="000000"/>
          <w:kern w:val="0"/>
          <w:sz w:val="24"/>
        </w:rPr>
      </w:pPr>
      <w:r>
        <w:rPr>
          <w:rFonts w:ascii="宋体" w:hAnsi="宋体" w:cs="Arial" w:hint="eastAsia"/>
          <w:snapToGrid w:val="0"/>
          <w:color w:val="000000"/>
          <w:kern w:val="0"/>
          <w:sz w:val="24"/>
        </w:rPr>
        <w:t xml:space="preserve"> </w:t>
      </w:r>
      <w:r>
        <w:rPr>
          <w:rFonts w:ascii="宋体" w:hAnsi="宋体" w:cs="Arial"/>
          <w:snapToGrid w:val="0"/>
          <w:color w:val="000000"/>
          <w:kern w:val="0"/>
          <w:sz w:val="24"/>
        </w:rPr>
        <w:t>公司注册资本为人民币618,924,235元。</w:t>
      </w:r>
    </w:p>
    <w:p w14:paraId="1B409C95"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color w:val="000000"/>
          <w:kern w:val="0"/>
          <w:sz w:val="24"/>
        </w:rPr>
      </w:pPr>
      <w:r>
        <w:rPr>
          <w:rFonts w:ascii="宋体" w:hAnsi="宋体" w:cs="Arial" w:hint="eastAsia"/>
          <w:snapToGrid w:val="0"/>
          <w:kern w:val="0"/>
          <w:sz w:val="24"/>
        </w:rPr>
        <w:t xml:space="preserve"> </w:t>
      </w:r>
      <w:r>
        <w:rPr>
          <w:rFonts w:ascii="宋体" w:hAnsi="宋体" w:cs="Arial"/>
          <w:snapToGrid w:val="0"/>
          <w:kern w:val="0"/>
          <w:sz w:val="24"/>
        </w:rPr>
        <w:t>公司为永久存续的股份有限公司。</w:t>
      </w:r>
    </w:p>
    <w:p w14:paraId="18C3CDAF" w14:textId="77777777" w:rsidR="005A4DB3" w:rsidRPr="00292011"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color w:val="000000"/>
          <w:kern w:val="0"/>
          <w:sz w:val="24"/>
        </w:rPr>
      </w:pPr>
      <w:r>
        <w:rPr>
          <w:rFonts w:ascii="宋体" w:hAnsi="宋体" w:cs="Arial" w:hint="eastAsia"/>
          <w:snapToGrid w:val="0"/>
          <w:kern w:val="0"/>
          <w:sz w:val="24"/>
        </w:rPr>
        <w:t xml:space="preserve"> 总经理</w:t>
      </w:r>
      <w:r>
        <w:rPr>
          <w:rFonts w:ascii="宋体" w:hAnsi="宋体" w:cs="Arial"/>
          <w:snapToGrid w:val="0"/>
          <w:kern w:val="0"/>
          <w:sz w:val="24"/>
        </w:rPr>
        <w:t>为公司的法定代表人。</w:t>
      </w:r>
    </w:p>
    <w:p w14:paraId="2AB665FA" w14:textId="77777777" w:rsidR="005A4DB3" w:rsidRDefault="00F11E53">
      <w:pPr>
        <w:adjustRightInd w:val="0"/>
        <w:snapToGrid w:val="0"/>
        <w:spacing w:beforeLines="50" w:before="156" w:afterLines="50" w:after="156" w:line="360" w:lineRule="auto"/>
        <w:ind w:firstLineChars="300" w:firstLine="720"/>
        <w:rPr>
          <w:rFonts w:ascii="宋体" w:hAnsi="宋体" w:cs="Arial" w:hint="eastAsia"/>
          <w:snapToGrid w:val="0"/>
          <w:kern w:val="0"/>
          <w:sz w:val="24"/>
        </w:rPr>
      </w:pPr>
      <w:r>
        <w:rPr>
          <w:rFonts w:ascii="宋体" w:hAnsi="宋体" w:cs="Arial" w:hint="eastAsia"/>
          <w:snapToGrid w:val="0"/>
          <w:kern w:val="0"/>
          <w:sz w:val="24"/>
        </w:rPr>
        <w:t>担任法定代表人的</w:t>
      </w:r>
      <w:proofErr w:type="gramStart"/>
      <w:r>
        <w:rPr>
          <w:rFonts w:ascii="宋体" w:hAnsi="宋体" w:cs="Arial" w:hint="eastAsia"/>
          <w:snapToGrid w:val="0"/>
          <w:kern w:val="0"/>
          <w:sz w:val="24"/>
        </w:rPr>
        <w:t>总经理辞任的</w:t>
      </w:r>
      <w:proofErr w:type="gramEnd"/>
      <w:r>
        <w:rPr>
          <w:rFonts w:ascii="宋体" w:hAnsi="宋体" w:cs="Arial" w:hint="eastAsia"/>
          <w:snapToGrid w:val="0"/>
          <w:kern w:val="0"/>
          <w:sz w:val="24"/>
        </w:rPr>
        <w:t>，视为同时辞去法定代表人。</w:t>
      </w:r>
    </w:p>
    <w:p w14:paraId="3272F286" w14:textId="77777777" w:rsidR="005A4DB3" w:rsidRDefault="00F11E53">
      <w:pPr>
        <w:adjustRightInd w:val="0"/>
        <w:snapToGrid w:val="0"/>
        <w:spacing w:beforeLines="50" w:before="156" w:afterLines="50" w:after="156" w:line="360" w:lineRule="auto"/>
        <w:ind w:firstLineChars="300" w:firstLine="720"/>
        <w:rPr>
          <w:rFonts w:ascii="宋体" w:hAnsi="宋体" w:cs="Arial" w:hint="eastAsia"/>
          <w:snapToGrid w:val="0"/>
          <w:color w:val="000000"/>
          <w:kern w:val="0"/>
          <w:sz w:val="24"/>
        </w:rPr>
      </w:pPr>
      <w:r>
        <w:rPr>
          <w:rFonts w:ascii="宋体" w:hAnsi="宋体" w:cs="Arial" w:hint="eastAsia"/>
          <w:snapToGrid w:val="0"/>
          <w:color w:val="000000"/>
          <w:kern w:val="0"/>
          <w:sz w:val="24"/>
        </w:rPr>
        <w:t>法定代表</w:t>
      </w:r>
      <w:proofErr w:type="gramStart"/>
      <w:r>
        <w:rPr>
          <w:rFonts w:ascii="宋体" w:hAnsi="宋体" w:cs="Arial" w:hint="eastAsia"/>
          <w:snapToGrid w:val="0"/>
          <w:color w:val="000000"/>
          <w:kern w:val="0"/>
          <w:sz w:val="24"/>
        </w:rPr>
        <w:t>人辞任</w:t>
      </w:r>
      <w:proofErr w:type="gramEnd"/>
      <w:r>
        <w:rPr>
          <w:rFonts w:ascii="宋体" w:hAnsi="宋体" w:cs="Arial" w:hint="eastAsia"/>
          <w:snapToGrid w:val="0"/>
          <w:color w:val="000000"/>
          <w:kern w:val="0"/>
          <w:sz w:val="24"/>
        </w:rPr>
        <w:t>的，公司将在法定代表</w:t>
      </w:r>
      <w:proofErr w:type="gramStart"/>
      <w:r>
        <w:rPr>
          <w:rFonts w:ascii="宋体" w:hAnsi="宋体" w:cs="Arial" w:hint="eastAsia"/>
          <w:snapToGrid w:val="0"/>
          <w:color w:val="000000"/>
          <w:kern w:val="0"/>
          <w:sz w:val="24"/>
        </w:rPr>
        <w:t>人辞任</w:t>
      </w:r>
      <w:proofErr w:type="gramEnd"/>
      <w:r>
        <w:rPr>
          <w:rFonts w:ascii="宋体" w:hAnsi="宋体" w:cs="Arial" w:hint="eastAsia"/>
          <w:snapToGrid w:val="0"/>
          <w:color w:val="000000"/>
          <w:kern w:val="0"/>
          <w:sz w:val="24"/>
        </w:rPr>
        <w:t>之日起三十日内确定新的法定代表人。</w:t>
      </w:r>
    </w:p>
    <w:p w14:paraId="7ECEDC30"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sidRPr="00292011">
        <w:rPr>
          <w:rFonts w:ascii="宋体" w:hAnsi="宋体" w:cs="Arial" w:hint="eastAsia"/>
          <w:snapToGrid w:val="0"/>
          <w:kern w:val="0"/>
          <w:sz w:val="24"/>
        </w:rPr>
        <w:t>法定代表人以公司名义从事的民事活动，其法律后果由公司承受。</w:t>
      </w:r>
    </w:p>
    <w:p w14:paraId="60E211A6"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本章程或者股东会对法定代表人职权的限制，不得对抗善意相对人。</w:t>
      </w:r>
    </w:p>
    <w:p w14:paraId="5BCC0304"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lastRenderedPageBreak/>
        <w:t xml:space="preserve">　　法定代表人因为执行职务造成他人损害的，由公司承担民事责任。公司承担民事责任后，依照法律或者本章程的规定，可以向有过错的法定代表人追偿。</w:t>
      </w:r>
    </w:p>
    <w:p w14:paraId="5E803940" w14:textId="1AD9109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股东以其</w:t>
      </w:r>
      <w:r>
        <w:rPr>
          <w:rFonts w:ascii="宋体" w:hAnsi="宋体" w:cs="Arial" w:hint="eastAsia"/>
          <w:snapToGrid w:val="0"/>
          <w:kern w:val="0"/>
          <w:sz w:val="24"/>
        </w:rPr>
        <w:t>认购的股份</w:t>
      </w:r>
      <w:r>
        <w:rPr>
          <w:rFonts w:ascii="宋体" w:hAnsi="宋体" w:cs="Arial"/>
          <w:snapToGrid w:val="0"/>
          <w:kern w:val="0"/>
          <w:sz w:val="24"/>
        </w:rPr>
        <w:t>为限对公司承担责任，公司以其全部</w:t>
      </w:r>
      <w:r>
        <w:rPr>
          <w:rFonts w:ascii="宋体" w:hAnsi="宋体" w:cs="Arial" w:hint="eastAsia"/>
          <w:snapToGrid w:val="0"/>
          <w:kern w:val="0"/>
          <w:sz w:val="24"/>
        </w:rPr>
        <w:t>财产</w:t>
      </w:r>
      <w:r>
        <w:rPr>
          <w:rFonts w:ascii="宋体" w:hAnsi="宋体" w:cs="Arial"/>
          <w:snapToGrid w:val="0"/>
          <w:kern w:val="0"/>
          <w:sz w:val="24"/>
        </w:rPr>
        <w:t>对公司的债务承担责任。</w:t>
      </w:r>
    </w:p>
    <w:p w14:paraId="782132C0" w14:textId="7950636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本章程自生效之日起，即成为规范公司的组织与行为、公司与股东、股东与股东之间权利义务关系的具有法律约束力的文件，对公司、股东、董事、高级管理人员具有法律约束力的文件。依据本章程，股东可以起诉股东，股东可以起诉公司董事、高级管理人员，股东可以起诉公司，公司可以起诉股东、董事、高级管理人员。</w:t>
      </w:r>
    </w:p>
    <w:p w14:paraId="2CA4DC2C" w14:textId="2CA793A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本章程所称高级管理人员是指公司的总经理、副总经理、财务总监、董事会秘书、总工程师和本章程规定的其他人员。</w:t>
      </w:r>
    </w:p>
    <w:p w14:paraId="4B9F5787" w14:textId="77777777" w:rsidR="005A4DB3" w:rsidRDefault="00F11E53">
      <w:pPr>
        <w:pStyle w:val="1"/>
        <w:spacing w:beforeLines="50" w:before="156" w:afterLines="50" w:after="156" w:line="360" w:lineRule="auto"/>
      </w:pPr>
      <w:bookmarkStart w:id="3" w:name="_Toc414213706"/>
      <w:bookmarkStart w:id="4" w:name="_Toc495415936"/>
      <w:bookmarkStart w:id="5" w:name="_Toc212813214"/>
      <w:r>
        <w:t>第二章</w:t>
      </w:r>
      <w:r>
        <w:t xml:space="preserve"> </w:t>
      </w:r>
      <w:r>
        <w:t>经营宗旨和</w:t>
      </w:r>
      <w:r>
        <w:rPr>
          <w:rFonts w:hint="eastAsia"/>
        </w:rPr>
        <w:t>经营</w:t>
      </w:r>
      <w:r>
        <w:t>范围</w:t>
      </w:r>
      <w:bookmarkEnd w:id="3"/>
      <w:bookmarkEnd w:id="4"/>
      <w:bookmarkEnd w:id="5"/>
    </w:p>
    <w:p w14:paraId="3AEDC430" w14:textId="77777777" w:rsidR="005A4DB3" w:rsidRDefault="00F11E53">
      <w:pPr>
        <w:numPr>
          <w:ilvl w:val="0"/>
          <w:numId w:val="1"/>
        </w:numPr>
        <w:autoSpaceDE w:val="0"/>
        <w:autoSpaceDN w:val="0"/>
        <w:adjustRightInd w:val="0"/>
        <w:snapToGrid w:val="0"/>
        <w:spacing w:beforeLines="50" w:before="156" w:afterLines="50" w:after="156" w:line="360" w:lineRule="auto"/>
        <w:ind w:left="0" w:firstLineChars="200" w:firstLine="480"/>
        <w:rPr>
          <w:bCs/>
          <w:sz w:val="24"/>
          <w:szCs w:val="24"/>
        </w:rPr>
      </w:pPr>
      <w:r>
        <w:rPr>
          <w:rFonts w:ascii="宋体" w:hAnsi="宋体" w:cs="Arial" w:hint="eastAsia"/>
          <w:snapToGrid w:val="0"/>
          <w:kern w:val="0"/>
          <w:sz w:val="24"/>
        </w:rPr>
        <w:t xml:space="preserve"> </w:t>
      </w:r>
      <w:r>
        <w:rPr>
          <w:rFonts w:ascii="宋体" w:hAnsi="宋体" w:cs="Arial"/>
          <w:snapToGrid w:val="0"/>
          <w:kern w:val="0"/>
          <w:sz w:val="24"/>
        </w:rPr>
        <w:t>公司的经营宗旨：</w:t>
      </w:r>
      <w:r>
        <w:rPr>
          <w:rFonts w:ascii="宋体" w:hAnsi="宋体" w:cs="Arial" w:hint="eastAsia"/>
          <w:snapToGrid w:val="0"/>
          <w:kern w:val="0"/>
          <w:sz w:val="24"/>
        </w:rPr>
        <w:t>科学管理、务实求新、优质高效、守约重诺，努力提高企业的社会效益和经济效益，为社会经济发展</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贡献。</w:t>
      </w:r>
    </w:p>
    <w:p w14:paraId="4E8C3FBA" w14:textId="1013FB87" w:rsidR="005A4DB3" w:rsidRDefault="00F11E53">
      <w:pPr>
        <w:numPr>
          <w:ilvl w:val="0"/>
          <w:numId w:val="1"/>
        </w:numPr>
        <w:autoSpaceDE w:val="0"/>
        <w:autoSpaceDN w:val="0"/>
        <w:adjustRightInd w:val="0"/>
        <w:snapToGrid w:val="0"/>
        <w:spacing w:beforeLines="50" w:before="156" w:afterLines="50" w:after="156" w:line="360" w:lineRule="auto"/>
        <w:ind w:left="0" w:firstLineChars="200" w:firstLine="480"/>
        <w:rPr>
          <w:bCs/>
          <w:sz w:val="24"/>
          <w:szCs w:val="24"/>
        </w:rPr>
      </w:pPr>
      <w:r>
        <w:rPr>
          <w:rFonts w:ascii="宋体" w:hAnsi="宋体" w:cs="Arial" w:hint="eastAsia"/>
          <w:snapToGrid w:val="0"/>
          <w:kern w:val="0"/>
          <w:sz w:val="24"/>
        </w:rPr>
        <w:t xml:space="preserve"> 经依法登记，</w:t>
      </w:r>
      <w:r>
        <w:rPr>
          <w:rFonts w:ascii="宋体" w:hAnsi="宋体" w:cs="Arial"/>
          <w:snapToGrid w:val="0"/>
          <w:kern w:val="0"/>
          <w:sz w:val="24"/>
        </w:rPr>
        <w:t>公司的经营范围：</w:t>
      </w:r>
      <w:bookmarkStart w:id="6" w:name="_Hlk92465348"/>
      <w:r>
        <w:rPr>
          <w:rFonts w:hint="eastAsia"/>
          <w:bCs/>
          <w:sz w:val="24"/>
          <w:szCs w:val="24"/>
        </w:rPr>
        <w:t>许可项目：建设工程施工；建设工程设计；公路管理与养护；路基路面养护作业；房屋建筑和市政基础设施项目工程总承包；建筑用钢筋产品生产；建筑劳务分包；施工专业作业。（依法须经批准的项目，经相关部门批准后方可开展经营活动，具体经营项目以相关部门批准文件或许可证件为准）</w:t>
      </w:r>
    </w:p>
    <w:p w14:paraId="757597B0" w14:textId="77777777" w:rsidR="005A4DB3" w:rsidRDefault="00F11E53">
      <w:pPr>
        <w:autoSpaceDE w:val="0"/>
        <w:autoSpaceDN w:val="0"/>
        <w:adjustRightInd w:val="0"/>
        <w:snapToGrid w:val="0"/>
        <w:spacing w:beforeLines="50" w:before="156" w:afterLines="50" w:after="156" w:line="360" w:lineRule="auto"/>
        <w:jc w:val="left"/>
        <w:rPr>
          <w:bCs/>
          <w:sz w:val="24"/>
          <w:szCs w:val="24"/>
        </w:rPr>
      </w:pPr>
      <w:r>
        <w:rPr>
          <w:rFonts w:hint="eastAsia"/>
          <w:bCs/>
          <w:sz w:val="24"/>
          <w:szCs w:val="24"/>
        </w:rPr>
        <w:t>一般项目：建筑工程机械与设备租赁；非居住房地产租赁；土石方工程施工；建筑材料销售；建筑用钢筋产品销售；</w:t>
      </w:r>
      <w:proofErr w:type="gramStart"/>
      <w:r>
        <w:rPr>
          <w:rFonts w:hint="eastAsia"/>
          <w:bCs/>
          <w:sz w:val="24"/>
          <w:szCs w:val="24"/>
        </w:rPr>
        <w:t>砼</w:t>
      </w:r>
      <w:proofErr w:type="gramEnd"/>
      <w:r>
        <w:rPr>
          <w:rFonts w:hint="eastAsia"/>
          <w:bCs/>
          <w:sz w:val="24"/>
          <w:szCs w:val="24"/>
        </w:rPr>
        <w:t>结构构件制造；</w:t>
      </w:r>
      <w:proofErr w:type="gramStart"/>
      <w:r>
        <w:rPr>
          <w:rFonts w:hint="eastAsia"/>
          <w:bCs/>
          <w:sz w:val="24"/>
          <w:szCs w:val="24"/>
        </w:rPr>
        <w:t>砼</w:t>
      </w:r>
      <w:proofErr w:type="gramEnd"/>
      <w:r>
        <w:rPr>
          <w:rFonts w:hint="eastAsia"/>
          <w:bCs/>
          <w:sz w:val="24"/>
          <w:szCs w:val="24"/>
        </w:rPr>
        <w:t>结构构件销售；工程管理服务；工程技术服务（规划管理、勘察、设计、监理除外）；水污染治理；水环境污染防治服务；生态恢复及生态保护服务。（除依法须经批准的项目外，凭营业执照依法自主开展经营活动）（具体内容以工商登记部门最终核定为准）</w:t>
      </w:r>
    </w:p>
    <w:bookmarkEnd w:id="6"/>
    <w:p w14:paraId="3B4921F7" w14:textId="77777777" w:rsidR="005A4DB3" w:rsidRDefault="005A4DB3">
      <w:pPr>
        <w:autoSpaceDE w:val="0"/>
        <w:autoSpaceDN w:val="0"/>
        <w:adjustRightInd w:val="0"/>
        <w:snapToGrid w:val="0"/>
        <w:spacing w:beforeLines="50" w:before="156" w:afterLines="50" w:after="156" w:line="360" w:lineRule="auto"/>
        <w:ind w:left="960"/>
        <w:rPr>
          <w:rFonts w:ascii="宋体" w:hAnsi="宋体" w:cs="Arial" w:hint="eastAsia"/>
          <w:snapToGrid w:val="0"/>
          <w:kern w:val="0"/>
          <w:sz w:val="24"/>
        </w:rPr>
      </w:pPr>
    </w:p>
    <w:p w14:paraId="7FA8D146" w14:textId="77777777" w:rsidR="005A4DB3" w:rsidRDefault="00F11E53">
      <w:pPr>
        <w:pStyle w:val="1"/>
        <w:spacing w:beforeLines="50" w:before="156" w:afterLines="50" w:after="156" w:line="360" w:lineRule="auto"/>
      </w:pPr>
      <w:bookmarkStart w:id="7" w:name="_Toc414213707"/>
      <w:bookmarkStart w:id="8" w:name="_Toc495415937"/>
      <w:bookmarkStart w:id="9" w:name="_Toc212813215"/>
      <w:r>
        <w:lastRenderedPageBreak/>
        <w:t>第</w:t>
      </w:r>
      <w:r>
        <w:rPr>
          <w:rFonts w:hint="eastAsia"/>
        </w:rPr>
        <w:t>三</w:t>
      </w:r>
      <w:r>
        <w:t>章</w:t>
      </w:r>
      <w:r>
        <w:t xml:space="preserve"> </w:t>
      </w:r>
      <w:r>
        <w:t>股份</w:t>
      </w:r>
      <w:bookmarkEnd w:id="7"/>
      <w:bookmarkEnd w:id="8"/>
      <w:bookmarkEnd w:id="9"/>
    </w:p>
    <w:p w14:paraId="0A7174C0" w14:textId="77777777" w:rsidR="005A4DB3" w:rsidRDefault="00F11E53">
      <w:pPr>
        <w:pStyle w:val="2"/>
        <w:spacing w:beforeLines="50" w:before="156" w:afterLines="50" w:after="156" w:line="360" w:lineRule="auto"/>
        <w:rPr>
          <w:snapToGrid w:val="0"/>
          <w:kern w:val="0"/>
        </w:rPr>
      </w:pPr>
      <w:bookmarkStart w:id="10" w:name="_Toc414213708"/>
      <w:bookmarkStart w:id="11" w:name="_Toc495415938"/>
      <w:bookmarkStart w:id="12" w:name="_Toc212813216"/>
      <w:r>
        <w:rPr>
          <w:snapToGrid w:val="0"/>
          <w:kern w:val="0"/>
        </w:rPr>
        <w:t>第一节</w:t>
      </w:r>
      <w:r>
        <w:rPr>
          <w:snapToGrid w:val="0"/>
          <w:kern w:val="0"/>
        </w:rPr>
        <w:t xml:space="preserve"> </w:t>
      </w:r>
      <w:r>
        <w:rPr>
          <w:snapToGrid w:val="0"/>
          <w:kern w:val="0"/>
        </w:rPr>
        <w:t>股份发行</w:t>
      </w:r>
      <w:bookmarkEnd w:id="10"/>
      <w:bookmarkEnd w:id="11"/>
      <w:bookmarkEnd w:id="12"/>
    </w:p>
    <w:p w14:paraId="3D98A937" w14:textId="77777777" w:rsidR="005A4DB3" w:rsidRDefault="00F11E53">
      <w:pPr>
        <w:numPr>
          <w:ilvl w:val="0"/>
          <w:numId w:val="1"/>
        </w:numPr>
        <w:autoSpaceDE w:val="0"/>
        <w:autoSpaceDN w:val="0"/>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公司的股份采取股票的形式。</w:t>
      </w:r>
    </w:p>
    <w:p w14:paraId="24A0770D" w14:textId="33D8FE0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公司股份的发行，实行</w:t>
      </w:r>
      <w:r>
        <w:rPr>
          <w:rFonts w:ascii="宋体" w:hAnsi="宋体" w:cs="Arial" w:hint="eastAsia"/>
          <w:snapToGrid w:val="0"/>
          <w:kern w:val="0"/>
          <w:sz w:val="24"/>
        </w:rPr>
        <w:t>公开、</w:t>
      </w:r>
      <w:r>
        <w:rPr>
          <w:rFonts w:ascii="宋体" w:hAnsi="宋体" w:cs="Arial"/>
          <w:snapToGrid w:val="0"/>
          <w:kern w:val="0"/>
          <w:sz w:val="24"/>
        </w:rPr>
        <w:t>公平、公正的原则，同</w:t>
      </w:r>
      <w:r>
        <w:rPr>
          <w:rFonts w:ascii="宋体" w:hAnsi="宋体" w:cs="Arial" w:hint="eastAsia"/>
          <w:snapToGrid w:val="0"/>
          <w:kern w:val="0"/>
          <w:sz w:val="24"/>
        </w:rPr>
        <w:t>类别</w:t>
      </w:r>
      <w:r>
        <w:rPr>
          <w:rFonts w:ascii="宋体" w:hAnsi="宋体" w:cs="Arial"/>
          <w:snapToGrid w:val="0"/>
          <w:kern w:val="0"/>
          <w:sz w:val="24"/>
        </w:rPr>
        <w:t>的每一股份应当具有同等权利。</w:t>
      </w:r>
    </w:p>
    <w:p w14:paraId="3B03FFEB" w14:textId="3B955F14"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同次发行的同类别股份，每股的发行条件和价格</w:t>
      </w:r>
      <w:r>
        <w:rPr>
          <w:rFonts w:ascii="宋体" w:hAnsi="宋体" w:cs="Arial"/>
          <w:snapToGrid w:val="0"/>
          <w:kern w:val="0"/>
          <w:sz w:val="24"/>
        </w:rPr>
        <w:t>应当相同；</w:t>
      </w:r>
      <w:r>
        <w:rPr>
          <w:rFonts w:ascii="宋体" w:hAnsi="宋体" w:cs="Arial" w:hint="eastAsia"/>
          <w:snapToGrid w:val="0"/>
          <w:kern w:val="0"/>
          <w:sz w:val="24"/>
        </w:rPr>
        <w:t>认购人</w:t>
      </w:r>
      <w:r>
        <w:rPr>
          <w:rFonts w:ascii="宋体" w:hAnsi="宋体" w:cs="Arial"/>
          <w:snapToGrid w:val="0"/>
          <w:kern w:val="0"/>
          <w:sz w:val="24"/>
        </w:rPr>
        <w:t>所认购的股份，每股应当支付相同价额。</w:t>
      </w:r>
    </w:p>
    <w:p w14:paraId="237DBE2D" w14:textId="6C6D5CB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公司发行的面额股，以人民币标明面值。</w:t>
      </w:r>
    </w:p>
    <w:p w14:paraId="29F59C17"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公司发行的股份，在中国证券登记结算有限公司上海分公司集中存管。</w:t>
      </w:r>
    </w:p>
    <w:p w14:paraId="4E71ECBB"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color w:val="000000"/>
          <w:sz w:val="24"/>
        </w:rPr>
        <w:t xml:space="preserve"> </w:t>
      </w:r>
      <w:r>
        <w:rPr>
          <w:rFonts w:ascii="宋体" w:hAnsi="宋体" w:cs="Arial"/>
          <w:color w:val="000000"/>
          <w:sz w:val="24"/>
        </w:rPr>
        <w:t>公司系由</w:t>
      </w:r>
      <w:r>
        <w:rPr>
          <w:rFonts w:ascii="宋体" w:hAnsi="宋体" w:cs="Arial" w:hint="eastAsia"/>
          <w:color w:val="000000"/>
          <w:sz w:val="24"/>
        </w:rPr>
        <w:t>安</w:t>
      </w:r>
      <w:r>
        <w:rPr>
          <w:rFonts w:ascii="宋体" w:hAnsi="宋体" w:cs="Arial" w:hint="eastAsia"/>
          <w:sz w:val="24"/>
        </w:rPr>
        <w:t>徽省交通建设有限责任公司</w:t>
      </w:r>
      <w:r>
        <w:rPr>
          <w:rFonts w:ascii="宋体" w:hAnsi="宋体" w:cs="Arial"/>
          <w:color w:val="000000"/>
          <w:sz w:val="24"/>
        </w:rPr>
        <w:t>整体</w:t>
      </w:r>
      <w:r>
        <w:rPr>
          <w:rFonts w:ascii="宋体" w:hAnsi="宋体" w:cs="Arial"/>
          <w:snapToGrid w:val="0"/>
          <w:color w:val="000000"/>
          <w:kern w:val="0"/>
          <w:sz w:val="24"/>
        </w:rPr>
        <w:t>变</w:t>
      </w:r>
      <w:r>
        <w:rPr>
          <w:rFonts w:ascii="宋体" w:hAnsi="宋体" w:cs="Arial"/>
          <w:snapToGrid w:val="0"/>
          <w:kern w:val="0"/>
          <w:sz w:val="24"/>
        </w:rPr>
        <w:t>更</w:t>
      </w:r>
      <w:r>
        <w:rPr>
          <w:rFonts w:ascii="宋体" w:hAnsi="宋体" w:cs="Arial" w:hint="eastAsia"/>
          <w:snapToGrid w:val="0"/>
          <w:kern w:val="0"/>
          <w:sz w:val="24"/>
        </w:rPr>
        <w:t>设立</w:t>
      </w:r>
      <w:r>
        <w:rPr>
          <w:rFonts w:ascii="宋体" w:hAnsi="宋体" w:cs="Arial"/>
          <w:snapToGrid w:val="0"/>
          <w:kern w:val="0"/>
          <w:sz w:val="24"/>
        </w:rPr>
        <w:t>，全部股份由</w:t>
      </w:r>
      <w:r>
        <w:rPr>
          <w:rFonts w:ascii="宋体" w:hAnsi="宋体" w:cs="Arial" w:hint="eastAsia"/>
          <w:snapToGrid w:val="0"/>
          <w:kern w:val="0"/>
          <w:sz w:val="24"/>
        </w:rPr>
        <w:t>安</w:t>
      </w:r>
      <w:r>
        <w:rPr>
          <w:rFonts w:ascii="宋体" w:hAnsi="宋体" w:cs="Arial" w:hint="eastAsia"/>
          <w:sz w:val="24"/>
        </w:rPr>
        <w:t>徽省交通建设有限责任公司</w:t>
      </w:r>
      <w:r>
        <w:rPr>
          <w:rFonts w:ascii="宋体" w:hAnsi="宋体" w:cs="Arial"/>
          <w:snapToGrid w:val="0"/>
          <w:kern w:val="0"/>
          <w:sz w:val="24"/>
        </w:rPr>
        <w:t>全体股东</w:t>
      </w:r>
      <w:r>
        <w:rPr>
          <w:rFonts w:ascii="宋体" w:hAnsi="宋体" w:cs="Arial" w:hint="eastAsia"/>
          <w:snapToGrid w:val="0"/>
          <w:kern w:val="0"/>
          <w:sz w:val="24"/>
        </w:rPr>
        <w:t>以其持有的安</w:t>
      </w:r>
      <w:r>
        <w:rPr>
          <w:rFonts w:ascii="宋体" w:hAnsi="宋体" w:cs="Arial" w:hint="eastAsia"/>
          <w:sz w:val="24"/>
        </w:rPr>
        <w:t>徽省交通建设有限责任公司</w:t>
      </w:r>
      <w:r>
        <w:rPr>
          <w:rFonts w:ascii="宋体" w:hAnsi="宋体" w:cs="Arial" w:hint="eastAsia"/>
          <w:snapToGrid w:val="0"/>
          <w:kern w:val="0"/>
          <w:sz w:val="24"/>
        </w:rPr>
        <w:t>的股权对应的净资产进行</w:t>
      </w:r>
      <w:r>
        <w:rPr>
          <w:rFonts w:ascii="宋体" w:hAnsi="宋体" w:cs="Arial"/>
          <w:snapToGrid w:val="0"/>
          <w:kern w:val="0"/>
          <w:sz w:val="24"/>
        </w:rPr>
        <w:t>认购。</w:t>
      </w:r>
      <w:r>
        <w:rPr>
          <w:rFonts w:ascii="宋体" w:hAnsi="宋体" w:cs="Arial" w:hint="eastAsia"/>
          <w:snapToGrid w:val="0"/>
          <w:kern w:val="0"/>
          <w:sz w:val="24"/>
        </w:rPr>
        <w:t>公司设立时发行的股份总数为</w:t>
      </w:r>
      <w:r>
        <w:rPr>
          <w:rFonts w:ascii="宋体" w:hAnsi="宋体" w:cs="Arial"/>
          <w:snapToGrid w:val="0"/>
          <w:kern w:val="0"/>
          <w:sz w:val="24"/>
        </w:rPr>
        <w:t>44910.0000</w:t>
      </w:r>
      <w:r>
        <w:rPr>
          <w:rFonts w:ascii="宋体" w:hAnsi="宋体" w:cs="Arial" w:hint="eastAsia"/>
          <w:snapToGrid w:val="0"/>
          <w:kern w:val="0"/>
          <w:sz w:val="24"/>
        </w:rPr>
        <w:t>万股，面额股的每股金额为1元，公司发起人及认购股数、出资方式和出资时间如下：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2"/>
        <w:gridCol w:w="2681"/>
        <w:gridCol w:w="1375"/>
        <w:gridCol w:w="963"/>
        <w:gridCol w:w="1377"/>
        <w:gridCol w:w="1288"/>
      </w:tblGrid>
      <w:tr w:rsidR="005A4DB3" w14:paraId="2A6B005B" w14:textId="77777777">
        <w:trPr>
          <w:trHeight w:val="640"/>
          <w:jc w:val="center"/>
        </w:trPr>
        <w:tc>
          <w:tcPr>
            <w:tcW w:w="357" w:type="pct"/>
            <w:noWrap/>
            <w:vAlign w:val="center"/>
          </w:tcPr>
          <w:p w14:paraId="03939BA0" w14:textId="77777777" w:rsidR="005A4DB3" w:rsidRDefault="00F11E53">
            <w:pPr>
              <w:widowControl/>
              <w:jc w:val="center"/>
              <w:rPr>
                <w:rFonts w:ascii="宋体" w:hAnsi="宋体" w:hint="eastAsia"/>
                <w:b/>
                <w:bCs/>
                <w:color w:val="000000"/>
                <w:kern w:val="0"/>
                <w:sz w:val="24"/>
                <w:szCs w:val="24"/>
              </w:rPr>
            </w:pPr>
            <w:r>
              <w:rPr>
                <w:rFonts w:ascii="宋体" w:hAnsi="宋体" w:hint="eastAsia"/>
                <w:b/>
                <w:bCs/>
                <w:color w:val="000000"/>
                <w:kern w:val="0"/>
                <w:sz w:val="24"/>
                <w:szCs w:val="24"/>
              </w:rPr>
              <w:t>序号</w:t>
            </w:r>
          </w:p>
        </w:tc>
        <w:tc>
          <w:tcPr>
            <w:tcW w:w="1619" w:type="pct"/>
            <w:vAlign w:val="center"/>
          </w:tcPr>
          <w:p w14:paraId="50C60CDC" w14:textId="77777777" w:rsidR="005A4DB3" w:rsidRDefault="00F11E53">
            <w:pPr>
              <w:widowControl/>
              <w:jc w:val="center"/>
              <w:rPr>
                <w:rFonts w:ascii="宋体" w:hAnsi="宋体" w:hint="eastAsia"/>
                <w:b/>
                <w:bCs/>
                <w:color w:val="000000"/>
                <w:kern w:val="0"/>
                <w:sz w:val="24"/>
                <w:szCs w:val="24"/>
              </w:rPr>
            </w:pPr>
            <w:r>
              <w:rPr>
                <w:rFonts w:ascii="宋体" w:hAnsi="宋体" w:hint="eastAsia"/>
                <w:b/>
                <w:bCs/>
                <w:color w:val="000000"/>
                <w:kern w:val="0"/>
                <w:sz w:val="24"/>
                <w:szCs w:val="24"/>
              </w:rPr>
              <w:t>发起人姓名或名称</w:t>
            </w:r>
          </w:p>
        </w:tc>
        <w:tc>
          <w:tcPr>
            <w:tcW w:w="831" w:type="pct"/>
            <w:noWrap/>
            <w:vAlign w:val="center"/>
          </w:tcPr>
          <w:p w14:paraId="58E8358D" w14:textId="77777777" w:rsidR="005A4DB3" w:rsidRDefault="00F11E53">
            <w:pPr>
              <w:widowControl/>
              <w:jc w:val="center"/>
              <w:rPr>
                <w:rFonts w:ascii="宋体" w:hAnsi="宋体" w:hint="eastAsia"/>
                <w:b/>
                <w:bCs/>
                <w:color w:val="000000"/>
                <w:kern w:val="0"/>
                <w:sz w:val="24"/>
                <w:szCs w:val="24"/>
              </w:rPr>
            </w:pPr>
            <w:r>
              <w:rPr>
                <w:rFonts w:ascii="宋体" w:hAnsi="宋体" w:hint="eastAsia"/>
                <w:b/>
                <w:bCs/>
                <w:color w:val="000000"/>
                <w:kern w:val="0"/>
                <w:sz w:val="24"/>
                <w:szCs w:val="24"/>
              </w:rPr>
              <w:t>认购股份数</w:t>
            </w:r>
          </w:p>
          <w:p w14:paraId="5F5B560F" w14:textId="77777777" w:rsidR="005A4DB3" w:rsidRDefault="00F11E53">
            <w:pPr>
              <w:widowControl/>
              <w:jc w:val="center"/>
              <w:rPr>
                <w:rFonts w:ascii="宋体" w:hAnsi="宋体" w:hint="eastAsia"/>
                <w:b/>
                <w:bCs/>
                <w:color w:val="000000"/>
                <w:kern w:val="0"/>
                <w:sz w:val="24"/>
                <w:szCs w:val="24"/>
              </w:rPr>
            </w:pPr>
            <w:r>
              <w:rPr>
                <w:rFonts w:ascii="宋体" w:hAnsi="宋体" w:hint="eastAsia"/>
                <w:b/>
                <w:bCs/>
                <w:color w:val="000000"/>
                <w:kern w:val="0"/>
                <w:sz w:val="24"/>
                <w:szCs w:val="24"/>
              </w:rPr>
              <w:t>（万股）</w:t>
            </w:r>
          </w:p>
        </w:tc>
        <w:tc>
          <w:tcPr>
            <w:tcW w:w="582" w:type="pct"/>
            <w:noWrap/>
            <w:vAlign w:val="center"/>
          </w:tcPr>
          <w:p w14:paraId="4E01769C" w14:textId="77777777" w:rsidR="005A4DB3" w:rsidRDefault="00F11E53">
            <w:pPr>
              <w:widowControl/>
              <w:ind w:leftChars="-50" w:left="-105" w:rightChars="-50" w:right="-105"/>
              <w:jc w:val="center"/>
              <w:rPr>
                <w:rFonts w:ascii="宋体" w:hAnsi="宋体" w:hint="eastAsia"/>
                <w:b/>
                <w:bCs/>
                <w:color w:val="000000"/>
                <w:kern w:val="0"/>
                <w:sz w:val="24"/>
                <w:szCs w:val="24"/>
              </w:rPr>
            </w:pPr>
            <w:r>
              <w:rPr>
                <w:rFonts w:ascii="宋体" w:hAnsi="宋体" w:hint="eastAsia"/>
                <w:b/>
                <w:bCs/>
                <w:color w:val="000000"/>
                <w:kern w:val="0"/>
                <w:sz w:val="24"/>
                <w:szCs w:val="24"/>
              </w:rPr>
              <w:t>持股比例</w:t>
            </w:r>
          </w:p>
          <w:p w14:paraId="29300D80" w14:textId="77777777" w:rsidR="005A4DB3" w:rsidRDefault="00F11E53">
            <w:pPr>
              <w:widowControl/>
              <w:ind w:leftChars="-50" w:left="-105" w:rightChars="-50" w:right="-105"/>
              <w:jc w:val="center"/>
              <w:rPr>
                <w:rFonts w:ascii="宋体" w:hAnsi="宋体" w:hint="eastAsia"/>
                <w:b/>
                <w:bCs/>
                <w:color w:val="000000"/>
                <w:kern w:val="0"/>
                <w:sz w:val="24"/>
                <w:szCs w:val="24"/>
              </w:rPr>
            </w:pPr>
            <w:r>
              <w:rPr>
                <w:rFonts w:ascii="宋体" w:hAnsi="宋体" w:hint="eastAsia"/>
                <w:b/>
                <w:bCs/>
                <w:color w:val="000000"/>
                <w:kern w:val="0"/>
                <w:sz w:val="24"/>
                <w:szCs w:val="24"/>
              </w:rPr>
              <w:t>（%）</w:t>
            </w:r>
          </w:p>
        </w:tc>
        <w:tc>
          <w:tcPr>
            <w:tcW w:w="832" w:type="pct"/>
            <w:vAlign w:val="center"/>
          </w:tcPr>
          <w:p w14:paraId="33829E46" w14:textId="77777777" w:rsidR="005A4DB3" w:rsidRDefault="00F11E53">
            <w:pPr>
              <w:widowControl/>
              <w:jc w:val="center"/>
              <w:rPr>
                <w:rFonts w:ascii="宋体" w:hAnsi="宋体" w:hint="eastAsia"/>
                <w:b/>
                <w:bCs/>
                <w:color w:val="000000"/>
                <w:kern w:val="0"/>
                <w:sz w:val="24"/>
                <w:szCs w:val="24"/>
              </w:rPr>
            </w:pPr>
            <w:r>
              <w:rPr>
                <w:rFonts w:ascii="宋体" w:hAnsi="宋体" w:hint="eastAsia"/>
                <w:b/>
                <w:bCs/>
                <w:color w:val="000000"/>
                <w:kern w:val="0"/>
                <w:sz w:val="24"/>
                <w:szCs w:val="24"/>
              </w:rPr>
              <w:t>出资方式</w:t>
            </w:r>
          </w:p>
        </w:tc>
        <w:tc>
          <w:tcPr>
            <w:tcW w:w="778" w:type="pct"/>
            <w:vAlign w:val="center"/>
          </w:tcPr>
          <w:p w14:paraId="34FEB4CE" w14:textId="77777777" w:rsidR="005A4DB3" w:rsidRDefault="00F11E53">
            <w:pPr>
              <w:widowControl/>
              <w:jc w:val="center"/>
              <w:rPr>
                <w:rFonts w:ascii="宋体" w:hAnsi="宋体" w:hint="eastAsia"/>
                <w:b/>
                <w:bCs/>
                <w:color w:val="000000"/>
                <w:kern w:val="0"/>
                <w:sz w:val="24"/>
                <w:szCs w:val="24"/>
              </w:rPr>
            </w:pPr>
            <w:r>
              <w:rPr>
                <w:rFonts w:ascii="宋体" w:hAnsi="宋体" w:hint="eastAsia"/>
                <w:b/>
                <w:bCs/>
                <w:color w:val="000000"/>
                <w:kern w:val="0"/>
                <w:sz w:val="24"/>
                <w:szCs w:val="24"/>
              </w:rPr>
              <w:t>出资时间</w:t>
            </w:r>
          </w:p>
        </w:tc>
      </w:tr>
      <w:tr w:rsidR="005A4DB3" w14:paraId="18ED95AB" w14:textId="77777777">
        <w:trPr>
          <w:trHeight w:val="102"/>
          <w:jc w:val="center"/>
        </w:trPr>
        <w:tc>
          <w:tcPr>
            <w:tcW w:w="357" w:type="pct"/>
            <w:noWrap/>
            <w:vAlign w:val="center"/>
          </w:tcPr>
          <w:p w14:paraId="65F95B67"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w:t>
            </w:r>
          </w:p>
        </w:tc>
        <w:tc>
          <w:tcPr>
            <w:tcW w:w="1619" w:type="pct"/>
            <w:vAlign w:val="center"/>
          </w:tcPr>
          <w:p w14:paraId="2A346F09"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祥</w:t>
            </w:r>
            <w:proofErr w:type="gramEnd"/>
            <w:r>
              <w:rPr>
                <w:rFonts w:ascii="宋体" w:hAnsi="宋体" w:hint="eastAsia"/>
                <w:color w:val="000000"/>
                <w:szCs w:val="21"/>
              </w:rPr>
              <w:t>源控股集团有限责任公司</w:t>
            </w:r>
          </w:p>
        </w:tc>
        <w:tc>
          <w:tcPr>
            <w:tcW w:w="831" w:type="pct"/>
            <w:vAlign w:val="center"/>
          </w:tcPr>
          <w:p w14:paraId="38948656" w14:textId="77777777" w:rsidR="005A4DB3" w:rsidRDefault="00F11E53">
            <w:pPr>
              <w:jc w:val="right"/>
              <w:rPr>
                <w:rFonts w:ascii="宋体" w:hAnsi="宋体" w:hint="eastAsia"/>
                <w:color w:val="000000"/>
                <w:szCs w:val="21"/>
              </w:rPr>
            </w:pPr>
            <w:r>
              <w:rPr>
                <w:rFonts w:ascii="宋体" w:hAnsi="宋体"/>
                <w:color w:val="000000"/>
                <w:szCs w:val="21"/>
              </w:rPr>
              <w:t>27</w:t>
            </w:r>
            <w:r>
              <w:rPr>
                <w:rFonts w:ascii="宋体" w:hAnsi="宋体" w:hint="eastAsia"/>
                <w:color w:val="000000"/>
                <w:szCs w:val="21"/>
              </w:rPr>
              <w:t>,</w:t>
            </w:r>
            <w:r>
              <w:rPr>
                <w:rFonts w:ascii="宋体" w:hAnsi="宋体"/>
                <w:color w:val="000000"/>
                <w:szCs w:val="21"/>
              </w:rPr>
              <w:t>429.329</w:t>
            </w:r>
            <w:r>
              <w:rPr>
                <w:rFonts w:ascii="宋体" w:hAnsi="宋体" w:hint="eastAsia"/>
                <w:color w:val="000000"/>
                <w:szCs w:val="21"/>
              </w:rPr>
              <w:t>0</w:t>
            </w:r>
          </w:p>
        </w:tc>
        <w:tc>
          <w:tcPr>
            <w:tcW w:w="582" w:type="pct"/>
            <w:noWrap/>
            <w:vAlign w:val="center"/>
          </w:tcPr>
          <w:p w14:paraId="34F25175" w14:textId="77777777" w:rsidR="005A4DB3" w:rsidRDefault="00F11E53">
            <w:pPr>
              <w:jc w:val="right"/>
              <w:rPr>
                <w:rFonts w:ascii="宋体" w:hAnsi="宋体" w:hint="eastAsia"/>
                <w:color w:val="000000"/>
                <w:szCs w:val="21"/>
              </w:rPr>
            </w:pPr>
            <w:r>
              <w:rPr>
                <w:rFonts w:ascii="宋体" w:hAnsi="宋体"/>
                <w:color w:val="000000"/>
                <w:szCs w:val="21"/>
              </w:rPr>
              <w:t>61.076</w:t>
            </w:r>
            <w:r>
              <w:rPr>
                <w:rFonts w:ascii="宋体" w:hAnsi="宋体" w:hint="eastAsia"/>
                <w:color w:val="000000"/>
                <w:szCs w:val="21"/>
              </w:rPr>
              <w:t>0</w:t>
            </w:r>
          </w:p>
        </w:tc>
        <w:tc>
          <w:tcPr>
            <w:tcW w:w="832" w:type="pct"/>
            <w:vAlign w:val="center"/>
          </w:tcPr>
          <w:p w14:paraId="4F2BC288"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5CD2AAC1"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68953D59" w14:textId="77777777">
        <w:trPr>
          <w:trHeight w:val="315"/>
          <w:jc w:val="center"/>
        </w:trPr>
        <w:tc>
          <w:tcPr>
            <w:tcW w:w="357" w:type="pct"/>
            <w:noWrap/>
            <w:vAlign w:val="center"/>
          </w:tcPr>
          <w:p w14:paraId="6D9375A5"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w:t>
            </w:r>
          </w:p>
        </w:tc>
        <w:tc>
          <w:tcPr>
            <w:tcW w:w="1619" w:type="pct"/>
            <w:vAlign w:val="center"/>
          </w:tcPr>
          <w:p w14:paraId="4D152171" w14:textId="77777777" w:rsidR="005A4DB3" w:rsidRDefault="00F11E53">
            <w:pPr>
              <w:jc w:val="center"/>
              <w:rPr>
                <w:rFonts w:ascii="宋体" w:hAnsi="宋体" w:cs="宋体" w:hint="eastAsia"/>
                <w:color w:val="000000"/>
                <w:szCs w:val="21"/>
              </w:rPr>
            </w:pPr>
            <w:r>
              <w:rPr>
                <w:rFonts w:ascii="宋体" w:hAnsi="宋体" w:hint="eastAsia"/>
                <w:color w:val="000000"/>
                <w:szCs w:val="21"/>
              </w:rPr>
              <w:t>安徽安元投资基金有限公司</w:t>
            </w:r>
          </w:p>
        </w:tc>
        <w:tc>
          <w:tcPr>
            <w:tcW w:w="831" w:type="pct"/>
            <w:vAlign w:val="center"/>
          </w:tcPr>
          <w:p w14:paraId="3EB0D879" w14:textId="77777777" w:rsidR="005A4DB3" w:rsidRDefault="00F11E53">
            <w:pPr>
              <w:jc w:val="right"/>
              <w:rPr>
                <w:rFonts w:ascii="宋体" w:hAnsi="宋体" w:hint="eastAsia"/>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600.00</w:t>
            </w:r>
            <w:r>
              <w:rPr>
                <w:rFonts w:ascii="宋体" w:hAnsi="宋体" w:hint="eastAsia"/>
                <w:color w:val="000000"/>
                <w:szCs w:val="21"/>
              </w:rPr>
              <w:t>0</w:t>
            </w:r>
            <w:r>
              <w:rPr>
                <w:rFonts w:ascii="宋体" w:hAnsi="宋体"/>
                <w:color w:val="000000"/>
                <w:szCs w:val="21"/>
              </w:rPr>
              <w:t>0</w:t>
            </w:r>
          </w:p>
        </w:tc>
        <w:tc>
          <w:tcPr>
            <w:tcW w:w="582" w:type="pct"/>
            <w:noWrap/>
            <w:vAlign w:val="center"/>
          </w:tcPr>
          <w:p w14:paraId="216D6D6E" w14:textId="77777777" w:rsidR="005A4DB3" w:rsidRDefault="00F11E53">
            <w:pPr>
              <w:jc w:val="right"/>
              <w:rPr>
                <w:rFonts w:ascii="宋体" w:hAnsi="宋体" w:hint="eastAsia"/>
                <w:color w:val="000000"/>
                <w:szCs w:val="21"/>
              </w:rPr>
            </w:pPr>
            <w:r>
              <w:rPr>
                <w:rFonts w:ascii="宋体" w:hAnsi="宋体"/>
                <w:color w:val="000000"/>
                <w:szCs w:val="21"/>
              </w:rPr>
              <w:t>3.563</w:t>
            </w:r>
            <w:r>
              <w:rPr>
                <w:rFonts w:ascii="宋体" w:hAnsi="宋体" w:hint="eastAsia"/>
                <w:color w:val="000000"/>
                <w:szCs w:val="21"/>
              </w:rPr>
              <w:t>0</w:t>
            </w:r>
          </w:p>
        </w:tc>
        <w:tc>
          <w:tcPr>
            <w:tcW w:w="832" w:type="pct"/>
            <w:vAlign w:val="center"/>
          </w:tcPr>
          <w:p w14:paraId="7E0BD5C5"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2714EB57"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885DFFD" w14:textId="77777777">
        <w:trPr>
          <w:trHeight w:val="315"/>
          <w:jc w:val="center"/>
        </w:trPr>
        <w:tc>
          <w:tcPr>
            <w:tcW w:w="357" w:type="pct"/>
            <w:noWrap/>
            <w:vAlign w:val="center"/>
          </w:tcPr>
          <w:p w14:paraId="405F69E1"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3</w:t>
            </w:r>
          </w:p>
        </w:tc>
        <w:tc>
          <w:tcPr>
            <w:tcW w:w="1619" w:type="pct"/>
            <w:vAlign w:val="center"/>
          </w:tcPr>
          <w:p w14:paraId="276DC1D2" w14:textId="77777777" w:rsidR="005A4DB3" w:rsidRDefault="00F11E53">
            <w:pPr>
              <w:jc w:val="center"/>
              <w:rPr>
                <w:rFonts w:ascii="宋体" w:hAnsi="宋体" w:cs="宋体" w:hint="eastAsia"/>
                <w:color w:val="000000"/>
                <w:szCs w:val="21"/>
              </w:rPr>
            </w:pPr>
            <w:r>
              <w:rPr>
                <w:rFonts w:ascii="宋体" w:hAnsi="宋体" w:hint="eastAsia"/>
                <w:color w:val="000000"/>
                <w:szCs w:val="21"/>
              </w:rPr>
              <w:t>安徽高新金</w:t>
            </w:r>
            <w:proofErr w:type="gramStart"/>
            <w:r>
              <w:rPr>
                <w:rFonts w:ascii="宋体" w:hAnsi="宋体" w:hint="eastAsia"/>
                <w:color w:val="000000"/>
                <w:szCs w:val="21"/>
              </w:rPr>
              <w:t>通安益二期</w:t>
            </w:r>
            <w:proofErr w:type="gramEnd"/>
            <w:r>
              <w:rPr>
                <w:rFonts w:ascii="宋体" w:hAnsi="宋体" w:hint="eastAsia"/>
                <w:color w:val="000000"/>
                <w:szCs w:val="21"/>
              </w:rPr>
              <w:t>创业投资基金（有限合伙）</w:t>
            </w:r>
          </w:p>
        </w:tc>
        <w:tc>
          <w:tcPr>
            <w:tcW w:w="831" w:type="pct"/>
            <w:vAlign w:val="center"/>
          </w:tcPr>
          <w:p w14:paraId="38B14A0A" w14:textId="77777777" w:rsidR="005A4DB3" w:rsidRDefault="00F11E53">
            <w:pPr>
              <w:jc w:val="right"/>
              <w:rPr>
                <w:rFonts w:ascii="宋体" w:hAnsi="宋体" w:hint="eastAsia"/>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500.00</w:t>
            </w:r>
            <w:r>
              <w:rPr>
                <w:rFonts w:ascii="宋体" w:hAnsi="宋体" w:hint="eastAsia"/>
                <w:color w:val="000000"/>
                <w:szCs w:val="21"/>
              </w:rPr>
              <w:t>0</w:t>
            </w:r>
            <w:r>
              <w:rPr>
                <w:rFonts w:ascii="宋体" w:hAnsi="宋体"/>
                <w:color w:val="000000"/>
                <w:szCs w:val="21"/>
              </w:rPr>
              <w:t>0</w:t>
            </w:r>
          </w:p>
        </w:tc>
        <w:tc>
          <w:tcPr>
            <w:tcW w:w="582" w:type="pct"/>
            <w:noWrap/>
            <w:vAlign w:val="center"/>
          </w:tcPr>
          <w:p w14:paraId="047236AE" w14:textId="77777777" w:rsidR="005A4DB3" w:rsidRDefault="00F11E53">
            <w:pPr>
              <w:jc w:val="right"/>
              <w:rPr>
                <w:rFonts w:ascii="宋体" w:hAnsi="宋体" w:hint="eastAsia"/>
                <w:color w:val="000000"/>
                <w:szCs w:val="21"/>
              </w:rPr>
            </w:pPr>
            <w:r>
              <w:rPr>
                <w:rFonts w:ascii="宋体" w:hAnsi="宋体"/>
                <w:color w:val="000000"/>
                <w:szCs w:val="21"/>
              </w:rPr>
              <w:t>3.340</w:t>
            </w:r>
            <w:r>
              <w:rPr>
                <w:rFonts w:ascii="宋体" w:hAnsi="宋体" w:hint="eastAsia"/>
                <w:color w:val="000000"/>
                <w:szCs w:val="21"/>
              </w:rPr>
              <w:t>0</w:t>
            </w:r>
          </w:p>
        </w:tc>
        <w:tc>
          <w:tcPr>
            <w:tcW w:w="832" w:type="pct"/>
            <w:vAlign w:val="center"/>
          </w:tcPr>
          <w:p w14:paraId="2CA86AE8"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541A1AE0"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1FF34A13" w14:textId="77777777">
        <w:trPr>
          <w:trHeight w:val="315"/>
          <w:jc w:val="center"/>
        </w:trPr>
        <w:tc>
          <w:tcPr>
            <w:tcW w:w="357" w:type="pct"/>
            <w:noWrap/>
            <w:vAlign w:val="center"/>
          </w:tcPr>
          <w:p w14:paraId="12EEB3DF"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4</w:t>
            </w:r>
          </w:p>
        </w:tc>
        <w:tc>
          <w:tcPr>
            <w:tcW w:w="1619" w:type="pct"/>
            <w:vAlign w:val="center"/>
          </w:tcPr>
          <w:p w14:paraId="6A772602" w14:textId="77777777" w:rsidR="005A4DB3" w:rsidRDefault="00F11E53">
            <w:pPr>
              <w:jc w:val="center"/>
              <w:rPr>
                <w:rFonts w:ascii="宋体" w:hAnsi="宋体" w:cs="宋体" w:hint="eastAsia"/>
                <w:color w:val="000000"/>
                <w:szCs w:val="21"/>
              </w:rPr>
            </w:pPr>
            <w:r>
              <w:rPr>
                <w:rFonts w:ascii="宋体" w:hAnsi="宋体" w:hint="eastAsia"/>
                <w:color w:val="000000"/>
                <w:szCs w:val="21"/>
              </w:rPr>
              <w:t>安徽安华基金投资有限公司</w:t>
            </w:r>
          </w:p>
        </w:tc>
        <w:tc>
          <w:tcPr>
            <w:tcW w:w="831" w:type="pct"/>
            <w:vAlign w:val="center"/>
          </w:tcPr>
          <w:p w14:paraId="77FA1D2C" w14:textId="77777777" w:rsidR="005A4DB3" w:rsidRDefault="00F11E53">
            <w:pPr>
              <w:jc w:val="right"/>
              <w:rPr>
                <w:rFonts w:ascii="宋体" w:hAnsi="宋体" w:hint="eastAsia"/>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500.00</w:t>
            </w:r>
            <w:r>
              <w:rPr>
                <w:rFonts w:ascii="宋体" w:hAnsi="宋体" w:hint="eastAsia"/>
                <w:color w:val="000000"/>
                <w:szCs w:val="21"/>
              </w:rPr>
              <w:t>0</w:t>
            </w:r>
            <w:r>
              <w:rPr>
                <w:rFonts w:ascii="宋体" w:hAnsi="宋体"/>
                <w:color w:val="000000"/>
                <w:szCs w:val="21"/>
              </w:rPr>
              <w:t>0</w:t>
            </w:r>
          </w:p>
        </w:tc>
        <w:tc>
          <w:tcPr>
            <w:tcW w:w="582" w:type="pct"/>
            <w:noWrap/>
            <w:vAlign w:val="center"/>
          </w:tcPr>
          <w:p w14:paraId="513E2A41" w14:textId="77777777" w:rsidR="005A4DB3" w:rsidRDefault="00F11E53">
            <w:pPr>
              <w:jc w:val="right"/>
              <w:rPr>
                <w:rFonts w:ascii="宋体" w:hAnsi="宋体" w:hint="eastAsia"/>
                <w:color w:val="000000"/>
                <w:szCs w:val="21"/>
              </w:rPr>
            </w:pPr>
            <w:r>
              <w:rPr>
                <w:rFonts w:ascii="宋体" w:hAnsi="宋体"/>
                <w:color w:val="000000"/>
                <w:szCs w:val="21"/>
              </w:rPr>
              <w:t>3.340</w:t>
            </w:r>
            <w:r>
              <w:rPr>
                <w:rFonts w:ascii="宋体" w:hAnsi="宋体" w:hint="eastAsia"/>
                <w:color w:val="000000"/>
                <w:szCs w:val="21"/>
              </w:rPr>
              <w:t>0</w:t>
            </w:r>
          </w:p>
        </w:tc>
        <w:tc>
          <w:tcPr>
            <w:tcW w:w="832" w:type="pct"/>
            <w:vAlign w:val="center"/>
          </w:tcPr>
          <w:p w14:paraId="58E7D076"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50351855"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34648945" w14:textId="77777777">
        <w:trPr>
          <w:trHeight w:val="315"/>
          <w:jc w:val="center"/>
        </w:trPr>
        <w:tc>
          <w:tcPr>
            <w:tcW w:w="357" w:type="pct"/>
            <w:noWrap/>
            <w:vAlign w:val="center"/>
          </w:tcPr>
          <w:p w14:paraId="536D8288"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5</w:t>
            </w:r>
          </w:p>
        </w:tc>
        <w:tc>
          <w:tcPr>
            <w:tcW w:w="1619" w:type="pct"/>
            <w:vAlign w:val="center"/>
          </w:tcPr>
          <w:p w14:paraId="2B358E20"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国元股权</w:t>
            </w:r>
            <w:proofErr w:type="gramEnd"/>
            <w:r>
              <w:rPr>
                <w:rFonts w:ascii="宋体" w:hAnsi="宋体" w:hint="eastAsia"/>
                <w:color w:val="000000"/>
                <w:szCs w:val="21"/>
              </w:rPr>
              <w:t>投资有限公司</w:t>
            </w:r>
          </w:p>
        </w:tc>
        <w:tc>
          <w:tcPr>
            <w:tcW w:w="831" w:type="pct"/>
            <w:vAlign w:val="center"/>
          </w:tcPr>
          <w:p w14:paraId="409A189F" w14:textId="77777777" w:rsidR="005A4DB3" w:rsidRDefault="00F11E53">
            <w:pPr>
              <w:jc w:val="right"/>
              <w:rPr>
                <w:rFonts w:ascii="宋体" w:hAnsi="宋体" w:hint="eastAsia"/>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400.000</w:t>
            </w:r>
            <w:r>
              <w:rPr>
                <w:rFonts w:ascii="宋体" w:hAnsi="宋体" w:hint="eastAsia"/>
                <w:color w:val="000000"/>
                <w:szCs w:val="21"/>
              </w:rPr>
              <w:t>0</w:t>
            </w:r>
          </w:p>
        </w:tc>
        <w:tc>
          <w:tcPr>
            <w:tcW w:w="582" w:type="pct"/>
            <w:noWrap/>
            <w:vAlign w:val="center"/>
          </w:tcPr>
          <w:p w14:paraId="72AF7209" w14:textId="77777777" w:rsidR="005A4DB3" w:rsidRDefault="00F11E53">
            <w:pPr>
              <w:jc w:val="right"/>
              <w:rPr>
                <w:rFonts w:ascii="宋体" w:hAnsi="宋体" w:hint="eastAsia"/>
                <w:color w:val="000000"/>
                <w:szCs w:val="21"/>
              </w:rPr>
            </w:pPr>
            <w:r>
              <w:rPr>
                <w:rFonts w:ascii="宋体" w:hAnsi="宋体"/>
                <w:color w:val="000000"/>
                <w:szCs w:val="21"/>
              </w:rPr>
              <w:t>3.117</w:t>
            </w:r>
            <w:r>
              <w:rPr>
                <w:rFonts w:ascii="宋体" w:hAnsi="宋体" w:hint="eastAsia"/>
                <w:color w:val="000000"/>
                <w:szCs w:val="21"/>
              </w:rPr>
              <w:t>0</w:t>
            </w:r>
          </w:p>
        </w:tc>
        <w:tc>
          <w:tcPr>
            <w:tcW w:w="832" w:type="pct"/>
            <w:vAlign w:val="center"/>
          </w:tcPr>
          <w:p w14:paraId="4FB6C126"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311CAEA4"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3C0D2C39" w14:textId="77777777">
        <w:trPr>
          <w:trHeight w:val="315"/>
          <w:jc w:val="center"/>
        </w:trPr>
        <w:tc>
          <w:tcPr>
            <w:tcW w:w="357" w:type="pct"/>
            <w:noWrap/>
            <w:vAlign w:val="center"/>
          </w:tcPr>
          <w:p w14:paraId="0FF2DEAE"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6</w:t>
            </w:r>
          </w:p>
        </w:tc>
        <w:tc>
          <w:tcPr>
            <w:tcW w:w="1619" w:type="pct"/>
            <w:vAlign w:val="center"/>
          </w:tcPr>
          <w:p w14:paraId="73557F0B" w14:textId="77777777" w:rsidR="005A4DB3" w:rsidRDefault="00F11E53">
            <w:pPr>
              <w:jc w:val="center"/>
              <w:rPr>
                <w:rFonts w:ascii="宋体" w:hAnsi="宋体" w:cs="宋体" w:hint="eastAsia"/>
                <w:color w:val="000000"/>
                <w:szCs w:val="21"/>
              </w:rPr>
            </w:pPr>
            <w:r>
              <w:rPr>
                <w:rFonts w:ascii="宋体" w:hAnsi="宋体" w:hint="eastAsia"/>
                <w:color w:val="000000"/>
                <w:szCs w:val="21"/>
              </w:rPr>
              <w:t>安徽金牛国轩新能源产业投资合伙企业（有限合伙）</w:t>
            </w:r>
          </w:p>
        </w:tc>
        <w:tc>
          <w:tcPr>
            <w:tcW w:w="831" w:type="pct"/>
            <w:vAlign w:val="center"/>
          </w:tcPr>
          <w:p w14:paraId="31F7ADED" w14:textId="77777777" w:rsidR="005A4DB3" w:rsidRDefault="00F11E53">
            <w:pPr>
              <w:jc w:val="right"/>
              <w:rPr>
                <w:rFonts w:ascii="宋体" w:hAnsi="宋体" w:hint="eastAsia"/>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200.000</w:t>
            </w:r>
            <w:r>
              <w:rPr>
                <w:rFonts w:ascii="宋体" w:hAnsi="宋体" w:hint="eastAsia"/>
                <w:color w:val="000000"/>
                <w:szCs w:val="21"/>
              </w:rPr>
              <w:t>0</w:t>
            </w:r>
          </w:p>
        </w:tc>
        <w:tc>
          <w:tcPr>
            <w:tcW w:w="582" w:type="pct"/>
            <w:noWrap/>
            <w:vAlign w:val="center"/>
          </w:tcPr>
          <w:p w14:paraId="05D82A5A" w14:textId="77777777" w:rsidR="005A4DB3" w:rsidRDefault="00F11E53">
            <w:pPr>
              <w:jc w:val="right"/>
              <w:rPr>
                <w:rFonts w:ascii="宋体" w:hAnsi="宋体" w:hint="eastAsia"/>
                <w:color w:val="000000"/>
                <w:szCs w:val="21"/>
              </w:rPr>
            </w:pPr>
            <w:r>
              <w:rPr>
                <w:rFonts w:ascii="宋体" w:hAnsi="宋体"/>
                <w:color w:val="000000"/>
                <w:szCs w:val="21"/>
              </w:rPr>
              <w:t>2.672</w:t>
            </w:r>
            <w:r>
              <w:rPr>
                <w:rFonts w:ascii="宋体" w:hAnsi="宋体" w:hint="eastAsia"/>
                <w:color w:val="000000"/>
                <w:szCs w:val="21"/>
              </w:rPr>
              <w:t>0</w:t>
            </w:r>
          </w:p>
        </w:tc>
        <w:tc>
          <w:tcPr>
            <w:tcW w:w="832" w:type="pct"/>
            <w:vAlign w:val="center"/>
          </w:tcPr>
          <w:p w14:paraId="50DD7C96"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5C0161AE"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73453A3D" w14:textId="77777777">
        <w:trPr>
          <w:trHeight w:val="315"/>
          <w:jc w:val="center"/>
        </w:trPr>
        <w:tc>
          <w:tcPr>
            <w:tcW w:w="357" w:type="pct"/>
            <w:noWrap/>
            <w:vAlign w:val="center"/>
          </w:tcPr>
          <w:p w14:paraId="606662A4"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7</w:t>
            </w:r>
          </w:p>
        </w:tc>
        <w:tc>
          <w:tcPr>
            <w:tcW w:w="1619" w:type="pct"/>
            <w:vAlign w:val="center"/>
          </w:tcPr>
          <w:p w14:paraId="52E328E9" w14:textId="77777777" w:rsidR="005A4DB3" w:rsidRDefault="00F11E53">
            <w:pPr>
              <w:jc w:val="center"/>
              <w:rPr>
                <w:rFonts w:ascii="宋体" w:hAnsi="宋体" w:cs="宋体" w:hint="eastAsia"/>
                <w:color w:val="000000"/>
                <w:szCs w:val="21"/>
              </w:rPr>
            </w:pPr>
            <w:r>
              <w:rPr>
                <w:rFonts w:ascii="宋体" w:hAnsi="宋体" w:hint="eastAsia"/>
                <w:color w:val="000000"/>
                <w:szCs w:val="21"/>
              </w:rPr>
              <w:t>黄山市为</w:t>
            </w:r>
            <w:proofErr w:type="gramStart"/>
            <w:r>
              <w:rPr>
                <w:rFonts w:ascii="宋体" w:hAnsi="宋体" w:hint="eastAsia"/>
                <w:color w:val="000000"/>
                <w:szCs w:val="21"/>
              </w:rPr>
              <w:t>众投资</w:t>
            </w:r>
            <w:proofErr w:type="gramEnd"/>
            <w:r>
              <w:rPr>
                <w:rFonts w:ascii="宋体" w:hAnsi="宋体" w:hint="eastAsia"/>
                <w:color w:val="000000"/>
                <w:szCs w:val="21"/>
              </w:rPr>
              <w:t>管理中心（有限合伙）</w:t>
            </w:r>
          </w:p>
        </w:tc>
        <w:tc>
          <w:tcPr>
            <w:tcW w:w="831" w:type="pct"/>
            <w:vAlign w:val="center"/>
          </w:tcPr>
          <w:p w14:paraId="6FA54BBB" w14:textId="77777777" w:rsidR="005A4DB3" w:rsidRDefault="00F11E53">
            <w:pPr>
              <w:jc w:val="right"/>
              <w:rPr>
                <w:rFonts w:ascii="宋体" w:hAnsi="宋体" w:hint="eastAsia"/>
                <w:color w:val="000000"/>
                <w:szCs w:val="21"/>
              </w:rPr>
            </w:pPr>
            <w:r>
              <w:rPr>
                <w:rFonts w:ascii="宋体" w:hAnsi="宋体"/>
                <w:color w:val="000000"/>
                <w:szCs w:val="21"/>
              </w:rPr>
              <w:t>869.000</w:t>
            </w:r>
            <w:r>
              <w:rPr>
                <w:rFonts w:ascii="宋体" w:hAnsi="宋体" w:hint="eastAsia"/>
                <w:color w:val="000000"/>
                <w:szCs w:val="21"/>
              </w:rPr>
              <w:t>0</w:t>
            </w:r>
          </w:p>
        </w:tc>
        <w:tc>
          <w:tcPr>
            <w:tcW w:w="582" w:type="pct"/>
            <w:noWrap/>
            <w:vAlign w:val="center"/>
          </w:tcPr>
          <w:p w14:paraId="33574403" w14:textId="77777777" w:rsidR="005A4DB3" w:rsidRDefault="00F11E53">
            <w:pPr>
              <w:jc w:val="right"/>
              <w:rPr>
                <w:rFonts w:ascii="宋体" w:hAnsi="宋体" w:hint="eastAsia"/>
                <w:color w:val="000000"/>
                <w:szCs w:val="21"/>
              </w:rPr>
            </w:pPr>
            <w:r>
              <w:rPr>
                <w:rFonts w:ascii="宋体" w:hAnsi="宋体"/>
                <w:color w:val="000000"/>
                <w:szCs w:val="21"/>
              </w:rPr>
              <w:t>1.935</w:t>
            </w:r>
            <w:r>
              <w:rPr>
                <w:rFonts w:ascii="宋体" w:hAnsi="宋体" w:hint="eastAsia"/>
                <w:color w:val="000000"/>
                <w:szCs w:val="21"/>
              </w:rPr>
              <w:t>0</w:t>
            </w:r>
          </w:p>
        </w:tc>
        <w:tc>
          <w:tcPr>
            <w:tcW w:w="832" w:type="pct"/>
            <w:vAlign w:val="center"/>
          </w:tcPr>
          <w:p w14:paraId="35D90354"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616177FE"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7D4A81B" w14:textId="77777777">
        <w:trPr>
          <w:trHeight w:val="315"/>
          <w:jc w:val="center"/>
        </w:trPr>
        <w:tc>
          <w:tcPr>
            <w:tcW w:w="357" w:type="pct"/>
            <w:noWrap/>
            <w:vAlign w:val="center"/>
          </w:tcPr>
          <w:p w14:paraId="41D836BD"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lastRenderedPageBreak/>
              <w:t>8</w:t>
            </w:r>
          </w:p>
        </w:tc>
        <w:tc>
          <w:tcPr>
            <w:tcW w:w="1619" w:type="pct"/>
            <w:vAlign w:val="center"/>
          </w:tcPr>
          <w:p w14:paraId="1EB8BED0" w14:textId="77777777" w:rsidR="005A4DB3" w:rsidRDefault="00F11E53">
            <w:pPr>
              <w:jc w:val="center"/>
              <w:rPr>
                <w:rFonts w:ascii="宋体" w:hAnsi="宋体" w:cs="宋体" w:hint="eastAsia"/>
                <w:color w:val="000000"/>
                <w:szCs w:val="21"/>
              </w:rPr>
            </w:pPr>
            <w:r>
              <w:rPr>
                <w:rFonts w:ascii="宋体" w:hAnsi="宋体" w:hint="eastAsia"/>
                <w:color w:val="000000"/>
                <w:szCs w:val="21"/>
              </w:rPr>
              <w:t>黄山市行</w:t>
            </w:r>
            <w:proofErr w:type="gramStart"/>
            <w:r>
              <w:rPr>
                <w:rFonts w:ascii="宋体" w:hAnsi="宋体" w:hint="eastAsia"/>
                <w:color w:val="000000"/>
                <w:szCs w:val="21"/>
              </w:rPr>
              <w:t>远投资</w:t>
            </w:r>
            <w:proofErr w:type="gramEnd"/>
            <w:r>
              <w:rPr>
                <w:rFonts w:ascii="宋体" w:hAnsi="宋体" w:hint="eastAsia"/>
                <w:color w:val="000000"/>
                <w:szCs w:val="21"/>
              </w:rPr>
              <w:t>管理中心（有限合伙）</w:t>
            </w:r>
          </w:p>
        </w:tc>
        <w:tc>
          <w:tcPr>
            <w:tcW w:w="831" w:type="pct"/>
            <w:vAlign w:val="center"/>
          </w:tcPr>
          <w:p w14:paraId="307CF659" w14:textId="77777777" w:rsidR="005A4DB3" w:rsidRDefault="00F11E53">
            <w:pPr>
              <w:jc w:val="right"/>
              <w:rPr>
                <w:rFonts w:ascii="宋体" w:hAnsi="宋体" w:hint="eastAsia"/>
                <w:color w:val="000000"/>
                <w:szCs w:val="21"/>
              </w:rPr>
            </w:pPr>
            <w:r>
              <w:rPr>
                <w:rFonts w:ascii="宋体" w:hAnsi="宋体"/>
                <w:color w:val="000000"/>
                <w:szCs w:val="21"/>
              </w:rPr>
              <w:t>696.500</w:t>
            </w:r>
            <w:r>
              <w:rPr>
                <w:rFonts w:ascii="宋体" w:hAnsi="宋体" w:hint="eastAsia"/>
                <w:color w:val="000000"/>
                <w:szCs w:val="21"/>
              </w:rPr>
              <w:t>0</w:t>
            </w:r>
          </w:p>
        </w:tc>
        <w:tc>
          <w:tcPr>
            <w:tcW w:w="582" w:type="pct"/>
            <w:noWrap/>
            <w:vAlign w:val="center"/>
          </w:tcPr>
          <w:p w14:paraId="4503846E" w14:textId="77777777" w:rsidR="005A4DB3" w:rsidRDefault="00F11E53">
            <w:pPr>
              <w:jc w:val="right"/>
              <w:rPr>
                <w:rFonts w:ascii="宋体" w:hAnsi="宋体" w:hint="eastAsia"/>
                <w:color w:val="000000"/>
                <w:szCs w:val="21"/>
              </w:rPr>
            </w:pPr>
            <w:r>
              <w:rPr>
                <w:rFonts w:ascii="宋体" w:hAnsi="宋体"/>
                <w:color w:val="000000"/>
                <w:szCs w:val="21"/>
              </w:rPr>
              <w:t>1.551</w:t>
            </w:r>
            <w:r>
              <w:rPr>
                <w:rFonts w:ascii="宋体" w:hAnsi="宋体" w:hint="eastAsia"/>
                <w:color w:val="000000"/>
                <w:szCs w:val="21"/>
              </w:rPr>
              <w:t>0</w:t>
            </w:r>
          </w:p>
        </w:tc>
        <w:tc>
          <w:tcPr>
            <w:tcW w:w="832" w:type="pct"/>
            <w:vAlign w:val="center"/>
          </w:tcPr>
          <w:p w14:paraId="32FC5078"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4A7E3A3"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1192C17" w14:textId="77777777">
        <w:trPr>
          <w:trHeight w:val="315"/>
          <w:jc w:val="center"/>
        </w:trPr>
        <w:tc>
          <w:tcPr>
            <w:tcW w:w="357" w:type="pct"/>
            <w:noWrap/>
            <w:vAlign w:val="center"/>
          </w:tcPr>
          <w:p w14:paraId="0441B6A7"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9</w:t>
            </w:r>
          </w:p>
        </w:tc>
        <w:tc>
          <w:tcPr>
            <w:tcW w:w="1619" w:type="pct"/>
            <w:vAlign w:val="center"/>
          </w:tcPr>
          <w:p w14:paraId="6808E9E6" w14:textId="77777777" w:rsidR="005A4DB3" w:rsidRDefault="00F11E53">
            <w:pPr>
              <w:jc w:val="center"/>
              <w:rPr>
                <w:rFonts w:ascii="宋体" w:hAnsi="宋体" w:cs="宋体" w:hint="eastAsia"/>
                <w:color w:val="000000"/>
                <w:szCs w:val="21"/>
              </w:rPr>
            </w:pPr>
            <w:r>
              <w:rPr>
                <w:rFonts w:ascii="宋体" w:hAnsi="宋体" w:hint="eastAsia"/>
                <w:color w:val="000000"/>
                <w:szCs w:val="21"/>
              </w:rPr>
              <w:t>黄山市启建投资管理中心（有限合伙）</w:t>
            </w:r>
          </w:p>
        </w:tc>
        <w:tc>
          <w:tcPr>
            <w:tcW w:w="831" w:type="pct"/>
            <w:vAlign w:val="center"/>
          </w:tcPr>
          <w:p w14:paraId="39021677" w14:textId="77777777" w:rsidR="005A4DB3" w:rsidRDefault="00F11E53">
            <w:pPr>
              <w:jc w:val="right"/>
              <w:rPr>
                <w:rFonts w:ascii="宋体" w:hAnsi="宋体" w:hint="eastAsia"/>
                <w:color w:val="000000"/>
                <w:szCs w:val="21"/>
              </w:rPr>
            </w:pPr>
            <w:r>
              <w:rPr>
                <w:rFonts w:ascii="宋体" w:hAnsi="宋体"/>
                <w:color w:val="000000"/>
                <w:szCs w:val="21"/>
              </w:rPr>
              <w:t>521.950</w:t>
            </w:r>
            <w:r>
              <w:rPr>
                <w:rFonts w:ascii="宋体" w:hAnsi="宋体" w:hint="eastAsia"/>
                <w:color w:val="000000"/>
                <w:szCs w:val="21"/>
              </w:rPr>
              <w:t>0</w:t>
            </w:r>
          </w:p>
        </w:tc>
        <w:tc>
          <w:tcPr>
            <w:tcW w:w="582" w:type="pct"/>
            <w:noWrap/>
            <w:vAlign w:val="center"/>
          </w:tcPr>
          <w:p w14:paraId="20249B04" w14:textId="77777777" w:rsidR="005A4DB3" w:rsidRDefault="00F11E53">
            <w:pPr>
              <w:jc w:val="right"/>
              <w:rPr>
                <w:rFonts w:ascii="宋体" w:hAnsi="宋体" w:hint="eastAsia"/>
                <w:color w:val="000000"/>
                <w:szCs w:val="21"/>
              </w:rPr>
            </w:pPr>
            <w:r>
              <w:rPr>
                <w:rFonts w:ascii="宋体" w:hAnsi="宋体"/>
                <w:color w:val="000000"/>
                <w:szCs w:val="21"/>
              </w:rPr>
              <w:t>1.162</w:t>
            </w:r>
            <w:r>
              <w:rPr>
                <w:rFonts w:ascii="宋体" w:hAnsi="宋体" w:hint="eastAsia"/>
                <w:color w:val="000000"/>
                <w:szCs w:val="21"/>
              </w:rPr>
              <w:t>0</w:t>
            </w:r>
          </w:p>
        </w:tc>
        <w:tc>
          <w:tcPr>
            <w:tcW w:w="832" w:type="pct"/>
            <w:vAlign w:val="center"/>
          </w:tcPr>
          <w:p w14:paraId="375B9C61"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508B0A5B"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B704A33" w14:textId="77777777">
        <w:trPr>
          <w:trHeight w:val="315"/>
          <w:jc w:val="center"/>
        </w:trPr>
        <w:tc>
          <w:tcPr>
            <w:tcW w:w="357" w:type="pct"/>
            <w:noWrap/>
            <w:vAlign w:val="center"/>
          </w:tcPr>
          <w:p w14:paraId="3DBD1877"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10</w:t>
            </w:r>
          </w:p>
        </w:tc>
        <w:tc>
          <w:tcPr>
            <w:tcW w:w="1619" w:type="pct"/>
            <w:vAlign w:val="center"/>
          </w:tcPr>
          <w:p w14:paraId="1A606A38" w14:textId="77777777" w:rsidR="005A4DB3" w:rsidRDefault="00F11E53">
            <w:pPr>
              <w:jc w:val="center"/>
              <w:rPr>
                <w:rFonts w:ascii="宋体" w:hAnsi="宋体" w:cs="宋体" w:hint="eastAsia"/>
                <w:color w:val="000000"/>
                <w:szCs w:val="21"/>
              </w:rPr>
            </w:pPr>
            <w:r>
              <w:rPr>
                <w:rFonts w:ascii="宋体" w:hAnsi="宋体" w:hint="eastAsia"/>
                <w:color w:val="000000"/>
                <w:szCs w:val="21"/>
              </w:rPr>
              <w:t>安徽华柏利永投资中心（有限合伙）</w:t>
            </w:r>
          </w:p>
        </w:tc>
        <w:tc>
          <w:tcPr>
            <w:tcW w:w="831" w:type="pct"/>
            <w:vAlign w:val="center"/>
          </w:tcPr>
          <w:p w14:paraId="7FD7B53D" w14:textId="77777777" w:rsidR="005A4DB3" w:rsidRDefault="00F11E53">
            <w:pPr>
              <w:jc w:val="right"/>
              <w:rPr>
                <w:rFonts w:ascii="宋体" w:hAnsi="宋体" w:hint="eastAsia"/>
                <w:color w:val="000000"/>
                <w:szCs w:val="21"/>
              </w:rPr>
            </w:pPr>
            <w:r>
              <w:rPr>
                <w:rFonts w:ascii="宋体" w:hAnsi="宋体"/>
                <w:color w:val="000000"/>
                <w:szCs w:val="21"/>
              </w:rPr>
              <w:t>700.000</w:t>
            </w:r>
            <w:r>
              <w:rPr>
                <w:rFonts w:ascii="宋体" w:hAnsi="宋体" w:hint="eastAsia"/>
                <w:color w:val="000000"/>
                <w:szCs w:val="21"/>
              </w:rPr>
              <w:t>0</w:t>
            </w:r>
          </w:p>
        </w:tc>
        <w:tc>
          <w:tcPr>
            <w:tcW w:w="582" w:type="pct"/>
            <w:noWrap/>
            <w:vAlign w:val="center"/>
          </w:tcPr>
          <w:p w14:paraId="1150EFA1" w14:textId="77777777" w:rsidR="005A4DB3" w:rsidRDefault="00F11E53">
            <w:pPr>
              <w:jc w:val="right"/>
              <w:rPr>
                <w:rFonts w:ascii="宋体" w:hAnsi="宋体" w:hint="eastAsia"/>
                <w:color w:val="000000"/>
                <w:szCs w:val="21"/>
              </w:rPr>
            </w:pPr>
            <w:r>
              <w:rPr>
                <w:rFonts w:ascii="宋体" w:hAnsi="宋体"/>
                <w:color w:val="000000"/>
                <w:szCs w:val="21"/>
              </w:rPr>
              <w:t>1.559</w:t>
            </w:r>
            <w:r>
              <w:rPr>
                <w:rFonts w:ascii="宋体" w:hAnsi="宋体" w:hint="eastAsia"/>
                <w:color w:val="000000"/>
                <w:szCs w:val="21"/>
              </w:rPr>
              <w:t>0</w:t>
            </w:r>
          </w:p>
        </w:tc>
        <w:tc>
          <w:tcPr>
            <w:tcW w:w="832" w:type="pct"/>
            <w:vAlign w:val="center"/>
          </w:tcPr>
          <w:p w14:paraId="6905C0BD"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CBFF6EB"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6BDEFE0F" w14:textId="77777777">
        <w:trPr>
          <w:trHeight w:val="315"/>
          <w:jc w:val="center"/>
        </w:trPr>
        <w:tc>
          <w:tcPr>
            <w:tcW w:w="357" w:type="pct"/>
            <w:noWrap/>
            <w:vAlign w:val="center"/>
          </w:tcPr>
          <w:p w14:paraId="6DDB3C2C"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11</w:t>
            </w:r>
          </w:p>
        </w:tc>
        <w:tc>
          <w:tcPr>
            <w:tcW w:w="1619" w:type="pct"/>
            <w:vAlign w:val="center"/>
          </w:tcPr>
          <w:p w14:paraId="0EA0664A" w14:textId="77777777" w:rsidR="005A4DB3" w:rsidRDefault="00F11E53">
            <w:pPr>
              <w:jc w:val="center"/>
              <w:rPr>
                <w:rFonts w:ascii="宋体" w:hAnsi="宋体" w:cs="宋体" w:hint="eastAsia"/>
                <w:color w:val="000000"/>
                <w:szCs w:val="21"/>
              </w:rPr>
            </w:pPr>
            <w:r>
              <w:rPr>
                <w:rFonts w:ascii="宋体" w:hAnsi="宋体" w:hint="eastAsia"/>
                <w:color w:val="000000"/>
                <w:szCs w:val="21"/>
              </w:rPr>
              <w:t>中山市欧普投资股份有限公司</w:t>
            </w:r>
          </w:p>
        </w:tc>
        <w:tc>
          <w:tcPr>
            <w:tcW w:w="831" w:type="pct"/>
            <w:vAlign w:val="center"/>
          </w:tcPr>
          <w:p w14:paraId="3A80D390" w14:textId="77777777" w:rsidR="005A4DB3" w:rsidRDefault="00F11E53">
            <w:pPr>
              <w:jc w:val="right"/>
              <w:rPr>
                <w:rFonts w:ascii="宋体" w:hAnsi="宋体" w:hint="eastAsia"/>
                <w:color w:val="000000"/>
                <w:szCs w:val="21"/>
              </w:rPr>
            </w:pPr>
            <w:r>
              <w:rPr>
                <w:rFonts w:ascii="宋体" w:hAnsi="宋体"/>
                <w:color w:val="000000"/>
                <w:szCs w:val="21"/>
              </w:rPr>
              <w:t>700.000</w:t>
            </w:r>
            <w:r>
              <w:rPr>
                <w:rFonts w:ascii="宋体" w:hAnsi="宋体" w:hint="eastAsia"/>
                <w:color w:val="000000"/>
                <w:szCs w:val="21"/>
              </w:rPr>
              <w:t>0</w:t>
            </w:r>
          </w:p>
        </w:tc>
        <w:tc>
          <w:tcPr>
            <w:tcW w:w="582" w:type="pct"/>
            <w:noWrap/>
            <w:vAlign w:val="center"/>
          </w:tcPr>
          <w:p w14:paraId="7B411B5E" w14:textId="77777777" w:rsidR="005A4DB3" w:rsidRDefault="00F11E53">
            <w:pPr>
              <w:jc w:val="right"/>
              <w:rPr>
                <w:rFonts w:ascii="宋体" w:hAnsi="宋体" w:hint="eastAsia"/>
                <w:color w:val="000000"/>
                <w:szCs w:val="21"/>
              </w:rPr>
            </w:pPr>
            <w:r>
              <w:rPr>
                <w:rFonts w:ascii="宋体" w:hAnsi="宋体"/>
                <w:color w:val="000000"/>
                <w:szCs w:val="21"/>
              </w:rPr>
              <w:t>1.559</w:t>
            </w:r>
            <w:r>
              <w:rPr>
                <w:rFonts w:ascii="宋体" w:hAnsi="宋体" w:hint="eastAsia"/>
                <w:color w:val="000000"/>
                <w:szCs w:val="21"/>
              </w:rPr>
              <w:t>0</w:t>
            </w:r>
          </w:p>
        </w:tc>
        <w:tc>
          <w:tcPr>
            <w:tcW w:w="832" w:type="pct"/>
            <w:vAlign w:val="center"/>
          </w:tcPr>
          <w:p w14:paraId="0BC3E01C"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7479487E"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37FA010C" w14:textId="77777777">
        <w:trPr>
          <w:trHeight w:val="315"/>
          <w:jc w:val="center"/>
        </w:trPr>
        <w:tc>
          <w:tcPr>
            <w:tcW w:w="357" w:type="pct"/>
            <w:noWrap/>
            <w:vAlign w:val="center"/>
          </w:tcPr>
          <w:p w14:paraId="64C5820E"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12</w:t>
            </w:r>
          </w:p>
        </w:tc>
        <w:tc>
          <w:tcPr>
            <w:tcW w:w="1619" w:type="pct"/>
            <w:vAlign w:val="center"/>
          </w:tcPr>
          <w:p w14:paraId="081B2FA0" w14:textId="77777777" w:rsidR="005A4DB3" w:rsidRDefault="00F11E53">
            <w:pPr>
              <w:jc w:val="center"/>
              <w:rPr>
                <w:rFonts w:ascii="宋体" w:hAnsi="宋体" w:cs="宋体" w:hint="eastAsia"/>
                <w:color w:val="000000"/>
                <w:szCs w:val="21"/>
              </w:rPr>
            </w:pPr>
            <w:r>
              <w:rPr>
                <w:rFonts w:ascii="宋体" w:hAnsi="宋体" w:hint="eastAsia"/>
                <w:color w:val="000000"/>
                <w:szCs w:val="21"/>
              </w:rPr>
              <w:t>安徽合信投资有限公司</w:t>
            </w:r>
          </w:p>
        </w:tc>
        <w:tc>
          <w:tcPr>
            <w:tcW w:w="831" w:type="pct"/>
            <w:vAlign w:val="center"/>
          </w:tcPr>
          <w:p w14:paraId="15FECD1E" w14:textId="77777777" w:rsidR="005A4DB3" w:rsidRDefault="00F11E53">
            <w:pPr>
              <w:jc w:val="right"/>
              <w:rPr>
                <w:rFonts w:ascii="宋体" w:hAnsi="宋体" w:hint="eastAsia"/>
                <w:color w:val="000000"/>
                <w:szCs w:val="21"/>
              </w:rPr>
            </w:pPr>
            <w:r>
              <w:rPr>
                <w:rFonts w:ascii="宋体" w:hAnsi="宋体"/>
                <w:color w:val="000000"/>
                <w:szCs w:val="21"/>
              </w:rPr>
              <w:t>500.00</w:t>
            </w:r>
            <w:r>
              <w:rPr>
                <w:rFonts w:ascii="宋体" w:hAnsi="宋体" w:hint="eastAsia"/>
                <w:color w:val="000000"/>
                <w:szCs w:val="21"/>
              </w:rPr>
              <w:t>0</w:t>
            </w:r>
            <w:r>
              <w:rPr>
                <w:rFonts w:ascii="宋体" w:hAnsi="宋体"/>
                <w:color w:val="000000"/>
                <w:szCs w:val="21"/>
              </w:rPr>
              <w:t>0</w:t>
            </w:r>
          </w:p>
        </w:tc>
        <w:tc>
          <w:tcPr>
            <w:tcW w:w="582" w:type="pct"/>
            <w:noWrap/>
            <w:vAlign w:val="center"/>
          </w:tcPr>
          <w:p w14:paraId="6B0FB004" w14:textId="77777777" w:rsidR="005A4DB3" w:rsidRDefault="00F11E53">
            <w:pPr>
              <w:jc w:val="right"/>
              <w:rPr>
                <w:rFonts w:ascii="宋体" w:hAnsi="宋体" w:hint="eastAsia"/>
                <w:color w:val="000000"/>
                <w:szCs w:val="21"/>
              </w:rPr>
            </w:pPr>
            <w:r>
              <w:rPr>
                <w:rFonts w:ascii="宋体" w:hAnsi="宋体"/>
                <w:color w:val="000000"/>
                <w:szCs w:val="21"/>
              </w:rPr>
              <w:t>1.113</w:t>
            </w:r>
            <w:r>
              <w:rPr>
                <w:rFonts w:ascii="宋体" w:hAnsi="宋体" w:hint="eastAsia"/>
                <w:color w:val="000000"/>
                <w:szCs w:val="21"/>
              </w:rPr>
              <w:t>0</w:t>
            </w:r>
          </w:p>
        </w:tc>
        <w:tc>
          <w:tcPr>
            <w:tcW w:w="832" w:type="pct"/>
            <w:vAlign w:val="center"/>
          </w:tcPr>
          <w:p w14:paraId="53E08B87"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6855A078"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52C4399" w14:textId="77777777">
        <w:trPr>
          <w:trHeight w:val="315"/>
          <w:jc w:val="center"/>
        </w:trPr>
        <w:tc>
          <w:tcPr>
            <w:tcW w:w="357" w:type="pct"/>
            <w:noWrap/>
            <w:vAlign w:val="center"/>
          </w:tcPr>
          <w:p w14:paraId="0D0700F4"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13</w:t>
            </w:r>
          </w:p>
        </w:tc>
        <w:tc>
          <w:tcPr>
            <w:tcW w:w="1619" w:type="pct"/>
            <w:vAlign w:val="center"/>
          </w:tcPr>
          <w:p w14:paraId="60BC5114"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俞</w:t>
            </w:r>
            <w:proofErr w:type="gramEnd"/>
            <w:r>
              <w:rPr>
                <w:rFonts w:ascii="宋体" w:hAnsi="宋体" w:hint="eastAsia"/>
                <w:color w:val="000000"/>
                <w:szCs w:val="21"/>
              </w:rPr>
              <w:t>发祥</w:t>
            </w:r>
          </w:p>
        </w:tc>
        <w:tc>
          <w:tcPr>
            <w:tcW w:w="831" w:type="pct"/>
            <w:vAlign w:val="center"/>
          </w:tcPr>
          <w:p w14:paraId="337F4E33" w14:textId="77777777" w:rsidR="005A4DB3" w:rsidRDefault="00F11E53">
            <w:pPr>
              <w:jc w:val="right"/>
              <w:rPr>
                <w:rFonts w:ascii="宋体" w:hAnsi="宋体" w:hint="eastAsia"/>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572.910</w:t>
            </w:r>
            <w:r>
              <w:rPr>
                <w:rFonts w:ascii="宋体" w:hAnsi="宋体" w:hint="eastAsia"/>
                <w:color w:val="000000"/>
                <w:szCs w:val="21"/>
              </w:rPr>
              <w:t>0</w:t>
            </w:r>
          </w:p>
        </w:tc>
        <w:tc>
          <w:tcPr>
            <w:tcW w:w="582" w:type="pct"/>
            <w:noWrap/>
            <w:vAlign w:val="center"/>
          </w:tcPr>
          <w:p w14:paraId="35E7BD84" w14:textId="77777777" w:rsidR="005A4DB3" w:rsidRDefault="00F11E53">
            <w:pPr>
              <w:jc w:val="right"/>
              <w:rPr>
                <w:rFonts w:ascii="宋体" w:hAnsi="宋体" w:hint="eastAsia"/>
                <w:color w:val="000000"/>
                <w:szCs w:val="21"/>
              </w:rPr>
            </w:pPr>
            <w:r>
              <w:rPr>
                <w:rFonts w:ascii="宋体" w:hAnsi="宋体"/>
                <w:color w:val="000000"/>
                <w:szCs w:val="21"/>
              </w:rPr>
              <w:t>3.503</w:t>
            </w:r>
            <w:r>
              <w:rPr>
                <w:rFonts w:ascii="宋体" w:hAnsi="宋体" w:hint="eastAsia"/>
                <w:color w:val="000000"/>
                <w:szCs w:val="21"/>
              </w:rPr>
              <w:t>0</w:t>
            </w:r>
          </w:p>
        </w:tc>
        <w:tc>
          <w:tcPr>
            <w:tcW w:w="832" w:type="pct"/>
            <w:vAlign w:val="center"/>
          </w:tcPr>
          <w:p w14:paraId="165E3344"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36E18807"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1CF19485" w14:textId="77777777">
        <w:trPr>
          <w:trHeight w:val="315"/>
          <w:jc w:val="center"/>
        </w:trPr>
        <w:tc>
          <w:tcPr>
            <w:tcW w:w="357" w:type="pct"/>
            <w:noWrap/>
            <w:vAlign w:val="center"/>
          </w:tcPr>
          <w:p w14:paraId="0E29E9E6"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14</w:t>
            </w:r>
          </w:p>
        </w:tc>
        <w:tc>
          <w:tcPr>
            <w:tcW w:w="1619" w:type="pct"/>
            <w:vAlign w:val="center"/>
          </w:tcPr>
          <w:p w14:paraId="78FEE18F" w14:textId="77777777" w:rsidR="005A4DB3" w:rsidRDefault="00F11E53">
            <w:pPr>
              <w:jc w:val="center"/>
              <w:rPr>
                <w:rFonts w:ascii="宋体" w:hAnsi="宋体" w:cs="宋体" w:hint="eastAsia"/>
                <w:color w:val="000000"/>
                <w:szCs w:val="21"/>
              </w:rPr>
            </w:pPr>
            <w:r>
              <w:rPr>
                <w:rFonts w:ascii="宋体" w:hAnsi="宋体" w:hint="eastAsia"/>
                <w:color w:val="000000"/>
                <w:szCs w:val="21"/>
              </w:rPr>
              <w:t>俞水祥</w:t>
            </w:r>
          </w:p>
        </w:tc>
        <w:tc>
          <w:tcPr>
            <w:tcW w:w="831" w:type="pct"/>
            <w:vAlign w:val="center"/>
          </w:tcPr>
          <w:p w14:paraId="65203650" w14:textId="77777777" w:rsidR="005A4DB3" w:rsidRDefault="00F11E53">
            <w:pPr>
              <w:jc w:val="right"/>
              <w:rPr>
                <w:rFonts w:ascii="宋体" w:hAnsi="宋体" w:hint="eastAsia"/>
                <w:color w:val="000000"/>
                <w:szCs w:val="21"/>
              </w:rPr>
            </w:pPr>
            <w:r>
              <w:rPr>
                <w:rFonts w:ascii="宋体" w:hAnsi="宋体"/>
                <w:color w:val="000000"/>
                <w:szCs w:val="21"/>
              </w:rPr>
              <w:t>729.493</w:t>
            </w:r>
            <w:r>
              <w:rPr>
                <w:rFonts w:ascii="宋体" w:hAnsi="宋体" w:hint="eastAsia"/>
                <w:color w:val="000000"/>
                <w:szCs w:val="21"/>
              </w:rPr>
              <w:t>0</w:t>
            </w:r>
          </w:p>
        </w:tc>
        <w:tc>
          <w:tcPr>
            <w:tcW w:w="582" w:type="pct"/>
            <w:noWrap/>
            <w:vAlign w:val="center"/>
          </w:tcPr>
          <w:p w14:paraId="1FD09593" w14:textId="77777777" w:rsidR="005A4DB3" w:rsidRDefault="00F11E53">
            <w:pPr>
              <w:jc w:val="right"/>
              <w:rPr>
                <w:rFonts w:ascii="宋体" w:hAnsi="宋体" w:hint="eastAsia"/>
                <w:color w:val="000000"/>
                <w:szCs w:val="21"/>
              </w:rPr>
            </w:pPr>
            <w:r>
              <w:rPr>
                <w:rFonts w:ascii="宋体" w:hAnsi="宋体"/>
                <w:color w:val="000000"/>
                <w:szCs w:val="21"/>
              </w:rPr>
              <w:t>1.624</w:t>
            </w:r>
            <w:r>
              <w:rPr>
                <w:rFonts w:ascii="宋体" w:hAnsi="宋体" w:hint="eastAsia"/>
                <w:color w:val="000000"/>
                <w:szCs w:val="21"/>
              </w:rPr>
              <w:t>0</w:t>
            </w:r>
          </w:p>
        </w:tc>
        <w:tc>
          <w:tcPr>
            <w:tcW w:w="832" w:type="pct"/>
            <w:vAlign w:val="center"/>
          </w:tcPr>
          <w:p w14:paraId="2006DB35"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42143993"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22F7C800" w14:textId="77777777">
        <w:trPr>
          <w:trHeight w:val="315"/>
          <w:jc w:val="center"/>
        </w:trPr>
        <w:tc>
          <w:tcPr>
            <w:tcW w:w="357" w:type="pct"/>
            <w:noWrap/>
            <w:vAlign w:val="center"/>
          </w:tcPr>
          <w:p w14:paraId="7ADB7D2B"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15</w:t>
            </w:r>
          </w:p>
        </w:tc>
        <w:tc>
          <w:tcPr>
            <w:tcW w:w="1619" w:type="pct"/>
            <w:vAlign w:val="center"/>
          </w:tcPr>
          <w:p w14:paraId="515DC611"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胡先宽</w:t>
            </w:r>
            <w:proofErr w:type="gramEnd"/>
          </w:p>
        </w:tc>
        <w:tc>
          <w:tcPr>
            <w:tcW w:w="831" w:type="pct"/>
            <w:vAlign w:val="center"/>
          </w:tcPr>
          <w:p w14:paraId="1584664D" w14:textId="77777777" w:rsidR="005A4DB3" w:rsidRDefault="00F11E53">
            <w:pPr>
              <w:jc w:val="right"/>
              <w:rPr>
                <w:rFonts w:ascii="宋体" w:hAnsi="宋体" w:hint="eastAsia"/>
                <w:color w:val="000000"/>
                <w:szCs w:val="21"/>
              </w:rPr>
            </w:pPr>
            <w:r>
              <w:rPr>
                <w:rFonts w:ascii="宋体" w:hAnsi="宋体"/>
                <w:color w:val="000000"/>
                <w:szCs w:val="21"/>
              </w:rPr>
              <w:t>600.000</w:t>
            </w:r>
            <w:r>
              <w:rPr>
                <w:rFonts w:ascii="宋体" w:hAnsi="宋体" w:hint="eastAsia"/>
                <w:color w:val="000000"/>
                <w:szCs w:val="21"/>
              </w:rPr>
              <w:t>0</w:t>
            </w:r>
          </w:p>
        </w:tc>
        <w:tc>
          <w:tcPr>
            <w:tcW w:w="582" w:type="pct"/>
            <w:noWrap/>
            <w:vAlign w:val="center"/>
          </w:tcPr>
          <w:p w14:paraId="13554F93" w14:textId="77777777" w:rsidR="005A4DB3" w:rsidRDefault="00F11E53">
            <w:pPr>
              <w:jc w:val="right"/>
              <w:rPr>
                <w:rFonts w:ascii="宋体" w:hAnsi="宋体" w:hint="eastAsia"/>
                <w:color w:val="000000"/>
                <w:szCs w:val="21"/>
              </w:rPr>
            </w:pPr>
            <w:r>
              <w:rPr>
                <w:rFonts w:ascii="宋体" w:hAnsi="宋体"/>
                <w:color w:val="000000"/>
                <w:szCs w:val="21"/>
              </w:rPr>
              <w:t>1.336</w:t>
            </w:r>
            <w:r>
              <w:rPr>
                <w:rFonts w:ascii="宋体" w:hAnsi="宋体" w:hint="eastAsia"/>
                <w:color w:val="000000"/>
                <w:szCs w:val="21"/>
              </w:rPr>
              <w:t>0</w:t>
            </w:r>
          </w:p>
        </w:tc>
        <w:tc>
          <w:tcPr>
            <w:tcW w:w="832" w:type="pct"/>
            <w:vAlign w:val="center"/>
          </w:tcPr>
          <w:p w14:paraId="4ADA6556"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376E7127"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2E8D856B" w14:textId="77777777">
        <w:trPr>
          <w:trHeight w:val="315"/>
          <w:jc w:val="center"/>
        </w:trPr>
        <w:tc>
          <w:tcPr>
            <w:tcW w:w="357" w:type="pct"/>
            <w:noWrap/>
            <w:vAlign w:val="center"/>
          </w:tcPr>
          <w:p w14:paraId="16C071E2"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16</w:t>
            </w:r>
          </w:p>
        </w:tc>
        <w:tc>
          <w:tcPr>
            <w:tcW w:w="1619" w:type="pct"/>
            <w:vAlign w:val="center"/>
          </w:tcPr>
          <w:p w14:paraId="6FDDA252" w14:textId="77777777" w:rsidR="005A4DB3" w:rsidRDefault="00F11E53">
            <w:pPr>
              <w:jc w:val="center"/>
              <w:rPr>
                <w:rFonts w:ascii="宋体" w:hAnsi="宋体" w:cs="宋体" w:hint="eastAsia"/>
                <w:color w:val="000000"/>
                <w:szCs w:val="21"/>
              </w:rPr>
            </w:pPr>
            <w:r>
              <w:rPr>
                <w:rFonts w:ascii="宋体" w:hAnsi="宋体" w:hint="eastAsia"/>
                <w:color w:val="000000"/>
                <w:szCs w:val="21"/>
              </w:rPr>
              <w:t>赖志林</w:t>
            </w:r>
          </w:p>
        </w:tc>
        <w:tc>
          <w:tcPr>
            <w:tcW w:w="831" w:type="pct"/>
            <w:vAlign w:val="center"/>
          </w:tcPr>
          <w:p w14:paraId="24A91EF9" w14:textId="77777777" w:rsidR="005A4DB3" w:rsidRDefault="00F11E53">
            <w:pPr>
              <w:jc w:val="right"/>
              <w:rPr>
                <w:rFonts w:ascii="宋体" w:hAnsi="宋体" w:hint="eastAsia"/>
                <w:color w:val="000000"/>
                <w:szCs w:val="21"/>
              </w:rPr>
            </w:pPr>
            <w:r>
              <w:rPr>
                <w:rFonts w:ascii="宋体" w:hAnsi="宋体"/>
                <w:color w:val="000000"/>
                <w:szCs w:val="21"/>
              </w:rPr>
              <w:t>583.595</w:t>
            </w:r>
            <w:r>
              <w:rPr>
                <w:rFonts w:ascii="宋体" w:hAnsi="宋体" w:hint="eastAsia"/>
                <w:color w:val="000000"/>
                <w:szCs w:val="21"/>
              </w:rPr>
              <w:t>0</w:t>
            </w:r>
          </w:p>
        </w:tc>
        <w:tc>
          <w:tcPr>
            <w:tcW w:w="582" w:type="pct"/>
            <w:noWrap/>
            <w:vAlign w:val="center"/>
          </w:tcPr>
          <w:p w14:paraId="0716019D" w14:textId="77777777" w:rsidR="005A4DB3" w:rsidRDefault="00F11E53">
            <w:pPr>
              <w:jc w:val="right"/>
              <w:rPr>
                <w:rFonts w:ascii="宋体" w:hAnsi="宋体" w:hint="eastAsia"/>
                <w:color w:val="000000"/>
                <w:szCs w:val="21"/>
              </w:rPr>
            </w:pPr>
            <w:r>
              <w:rPr>
                <w:rFonts w:ascii="宋体" w:hAnsi="宋体"/>
                <w:color w:val="000000"/>
                <w:szCs w:val="21"/>
              </w:rPr>
              <w:t>1.299</w:t>
            </w:r>
            <w:r>
              <w:rPr>
                <w:rFonts w:ascii="宋体" w:hAnsi="宋体" w:hint="eastAsia"/>
                <w:color w:val="000000"/>
                <w:szCs w:val="21"/>
              </w:rPr>
              <w:t>0</w:t>
            </w:r>
          </w:p>
        </w:tc>
        <w:tc>
          <w:tcPr>
            <w:tcW w:w="832" w:type="pct"/>
            <w:vAlign w:val="center"/>
          </w:tcPr>
          <w:p w14:paraId="72489EA0"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66FA61F9"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18462E3C" w14:textId="77777777">
        <w:trPr>
          <w:trHeight w:val="315"/>
          <w:jc w:val="center"/>
        </w:trPr>
        <w:tc>
          <w:tcPr>
            <w:tcW w:w="357" w:type="pct"/>
            <w:noWrap/>
            <w:vAlign w:val="center"/>
          </w:tcPr>
          <w:p w14:paraId="06442C4C"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17</w:t>
            </w:r>
          </w:p>
        </w:tc>
        <w:tc>
          <w:tcPr>
            <w:tcW w:w="1619" w:type="pct"/>
            <w:vAlign w:val="center"/>
          </w:tcPr>
          <w:p w14:paraId="00640B99" w14:textId="77777777" w:rsidR="005A4DB3" w:rsidRDefault="00F11E53">
            <w:pPr>
              <w:jc w:val="center"/>
              <w:rPr>
                <w:rFonts w:ascii="宋体" w:hAnsi="宋体" w:cs="宋体" w:hint="eastAsia"/>
                <w:color w:val="000000"/>
                <w:szCs w:val="21"/>
              </w:rPr>
            </w:pPr>
            <w:r>
              <w:rPr>
                <w:rFonts w:ascii="宋体" w:hAnsi="宋体" w:hint="eastAsia"/>
                <w:color w:val="000000"/>
                <w:szCs w:val="21"/>
              </w:rPr>
              <w:t>沈保山</w:t>
            </w:r>
          </w:p>
        </w:tc>
        <w:tc>
          <w:tcPr>
            <w:tcW w:w="831" w:type="pct"/>
            <w:vAlign w:val="center"/>
          </w:tcPr>
          <w:p w14:paraId="191D9199" w14:textId="77777777" w:rsidR="005A4DB3" w:rsidRDefault="00F11E53">
            <w:pPr>
              <w:jc w:val="right"/>
              <w:rPr>
                <w:rFonts w:ascii="宋体" w:hAnsi="宋体" w:hint="eastAsia"/>
                <w:color w:val="000000"/>
                <w:szCs w:val="21"/>
              </w:rPr>
            </w:pPr>
            <w:r>
              <w:rPr>
                <w:rFonts w:ascii="宋体" w:hAnsi="宋体"/>
                <w:color w:val="000000"/>
                <w:szCs w:val="21"/>
              </w:rPr>
              <w:t>583.595</w:t>
            </w:r>
            <w:r>
              <w:rPr>
                <w:rFonts w:ascii="宋体" w:hAnsi="宋体" w:hint="eastAsia"/>
                <w:color w:val="000000"/>
                <w:szCs w:val="21"/>
              </w:rPr>
              <w:t>0</w:t>
            </w:r>
          </w:p>
        </w:tc>
        <w:tc>
          <w:tcPr>
            <w:tcW w:w="582" w:type="pct"/>
            <w:noWrap/>
            <w:vAlign w:val="center"/>
          </w:tcPr>
          <w:p w14:paraId="1E676A16" w14:textId="77777777" w:rsidR="005A4DB3" w:rsidRDefault="00F11E53">
            <w:pPr>
              <w:jc w:val="right"/>
              <w:rPr>
                <w:rFonts w:ascii="宋体" w:hAnsi="宋体" w:hint="eastAsia"/>
                <w:color w:val="000000"/>
                <w:szCs w:val="21"/>
              </w:rPr>
            </w:pPr>
            <w:r>
              <w:rPr>
                <w:rFonts w:ascii="宋体" w:hAnsi="宋体"/>
                <w:color w:val="000000"/>
                <w:szCs w:val="21"/>
              </w:rPr>
              <w:t>1.299</w:t>
            </w:r>
            <w:r>
              <w:rPr>
                <w:rFonts w:ascii="宋体" w:hAnsi="宋体" w:hint="eastAsia"/>
                <w:color w:val="000000"/>
                <w:szCs w:val="21"/>
              </w:rPr>
              <w:t>0</w:t>
            </w:r>
          </w:p>
        </w:tc>
        <w:tc>
          <w:tcPr>
            <w:tcW w:w="832" w:type="pct"/>
            <w:vAlign w:val="center"/>
          </w:tcPr>
          <w:p w14:paraId="005D8520"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EC8CBFB"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4C90538D" w14:textId="77777777">
        <w:trPr>
          <w:trHeight w:val="315"/>
          <w:jc w:val="center"/>
        </w:trPr>
        <w:tc>
          <w:tcPr>
            <w:tcW w:w="357" w:type="pct"/>
            <w:noWrap/>
            <w:vAlign w:val="center"/>
          </w:tcPr>
          <w:p w14:paraId="576871B0"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18</w:t>
            </w:r>
          </w:p>
        </w:tc>
        <w:tc>
          <w:tcPr>
            <w:tcW w:w="1619" w:type="pct"/>
            <w:vAlign w:val="center"/>
          </w:tcPr>
          <w:p w14:paraId="5CDE4820"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干勇</w:t>
            </w:r>
            <w:proofErr w:type="gramEnd"/>
          </w:p>
        </w:tc>
        <w:tc>
          <w:tcPr>
            <w:tcW w:w="831" w:type="pct"/>
            <w:vAlign w:val="center"/>
          </w:tcPr>
          <w:p w14:paraId="5681CFA3" w14:textId="77777777" w:rsidR="005A4DB3" w:rsidRDefault="00F11E53">
            <w:pPr>
              <w:jc w:val="right"/>
              <w:rPr>
                <w:rFonts w:ascii="宋体" w:hAnsi="宋体" w:hint="eastAsia"/>
                <w:color w:val="000000"/>
                <w:szCs w:val="21"/>
              </w:rPr>
            </w:pPr>
            <w:r>
              <w:rPr>
                <w:rFonts w:ascii="宋体" w:hAnsi="宋体"/>
                <w:color w:val="000000"/>
                <w:szCs w:val="21"/>
              </w:rPr>
              <w:t>350.157</w:t>
            </w:r>
            <w:r>
              <w:rPr>
                <w:rFonts w:ascii="宋体" w:hAnsi="宋体" w:hint="eastAsia"/>
                <w:color w:val="000000"/>
                <w:szCs w:val="21"/>
              </w:rPr>
              <w:t>0</w:t>
            </w:r>
          </w:p>
        </w:tc>
        <w:tc>
          <w:tcPr>
            <w:tcW w:w="582" w:type="pct"/>
            <w:noWrap/>
            <w:vAlign w:val="center"/>
          </w:tcPr>
          <w:p w14:paraId="4D077C27" w14:textId="77777777" w:rsidR="005A4DB3" w:rsidRDefault="00F11E53">
            <w:pPr>
              <w:jc w:val="right"/>
              <w:rPr>
                <w:rFonts w:ascii="宋体" w:hAnsi="宋体" w:hint="eastAsia"/>
                <w:color w:val="000000"/>
                <w:szCs w:val="21"/>
              </w:rPr>
            </w:pPr>
            <w:r>
              <w:rPr>
                <w:rFonts w:ascii="宋体" w:hAnsi="宋体"/>
                <w:color w:val="000000"/>
                <w:szCs w:val="21"/>
              </w:rPr>
              <w:t>0.780</w:t>
            </w:r>
            <w:r>
              <w:rPr>
                <w:rFonts w:ascii="宋体" w:hAnsi="宋体" w:hint="eastAsia"/>
                <w:color w:val="000000"/>
                <w:szCs w:val="21"/>
              </w:rPr>
              <w:t>0</w:t>
            </w:r>
          </w:p>
        </w:tc>
        <w:tc>
          <w:tcPr>
            <w:tcW w:w="832" w:type="pct"/>
            <w:vAlign w:val="center"/>
          </w:tcPr>
          <w:p w14:paraId="3332B923"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3BF54CCE"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518040B2" w14:textId="77777777">
        <w:trPr>
          <w:trHeight w:val="315"/>
          <w:jc w:val="center"/>
        </w:trPr>
        <w:tc>
          <w:tcPr>
            <w:tcW w:w="357" w:type="pct"/>
            <w:noWrap/>
            <w:vAlign w:val="center"/>
          </w:tcPr>
          <w:p w14:paraId="57E22475"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19</w:t>
            </w:r>
          </w:p>
        </w:tc>
        <w:tc>
          <w:tcPr>
            <w:tcW w:w="1619" w:type="pct"/>
            <w:vAlign w:val="center"/>
          </w:tcPr>
          <w:p w14:paraId="199D8D59" w14:textId="77777777" w:rsidR="005A4DB3" w:rsidRDefault="00F11E53">
            <w:pPr>
              <w:jc w:val="center"/>
              <w:rPr>
                <w:rFonts w:ascii="宋体" w:hAnsi="宋体" w:cs="宋体" w:hint="eastAsia"/>
                <w:color w:val="000000"/>
                <w:szCs w:val="21"/>
              </w:rPr>
            </w:pPr>
            <w:r>
              <w:rPr>
                <w:rFonts w:ascii="宋体" w:hAnsi="宋体" w:hint="eastAsia"/>
                <w:color w:val="000000"/>
                <w:szCs w:val="21"/>
              </w:rPr>
              <w:t>黄桦</w:t>
            </w:r>
          </w:p>
        </w:tc>
        <w:tc>
          <w:tcPr>
            <w:tcW w:w="831" w:type="pct"/>
            <w:vAlign w:val="center"/>
          </w:tcPr>
          <w:p w14:paraId="4C4457F0" w14:textId="77777777" w:rsidR="005A4DB3" w:rsidRDefault="00F11E53">
            <w:pPr>
              <w:jc w:val="right"/>
              <w:rPr>
                <w:rFonts w:ascii="宋体" w:hAnsi="宋体" w:hint="eastAsia"/>
                <w:color w:val="000000"/>
                <w:szCs w:val="21"/>
              </w:rPr>
            </w:pPr>
            <w:r>
              <w:rPr>
                <w:rFonts w:ascii="宋体" w:hAnsi="宋体"/>
                <w:color w:val="000000"/>
                <w:szCs w:val="21"/>
              </w:rPr>
              <w:t>311.250</w:t>
            </w:r>
            <w:r>
              <w:rPr>
                <w:rFonts w:ascii="宋体" w:hAnsi="宋体" w:hint="eastAsia"/>
                <w:color w:val="000000"/>
                <w:szCs w:val="21"/>
              </w:rPr>
              <w:t>0</w:t>
            </w:r>
          </w:p>
        </w:tc>
        <w:tc>
          <w:tcPr>
            <w:tcW w:w="582" w:type="pct"/>
            <w:noWrap/>
            <w:vAlign w:val="center"/>
          </w:tcPr>
          <w:p w14:paraId="74EE6C66" w14:textId="77777777" w:rsidR="005A4DB3" w:rsidRDefault="00F11E53">
            <w:pPr>
              <w:jc w:val="right"/>
              <w:rPr>
                <w:rFonts w:ascii="宋体" w:hAnsi="宋体" w:hint="eastAsia"/>
                <w:color w:val="000000"/>
                <w:szCs w:val="21"/>
              </w:rPr>
            </w:pPr>
            <w:r>
              <w:rPr>
                <w:rFonts w:ascii="宋体" w:hAnsi="宋体"/>
                <w:color w:val="000000"/>
                <w:szCs w:val="21"/>
              </w:rPr>
              <w:t>0.693</w:t>
            </w:r>
            <w:r>
              <w:rPr>
                <w:rFonts w:ascii="宋体" w:hAnsi="宋体" w:hint="eastAsia"/>
                <w:color w:val="000000"/>
                <w:szCs w:val="21"/>
              </w:rPr>
              <w:t>0</w:t>
            </w:r>
          </w:p>
        </w:tc>
        <w:tc>
          <w:tcPr>
            <w:tcW w:w="832" w:type="pct"/>
            <w:vAlign w:val="center"/>
          </w:tcPr>
          <w:p w14:paraId="79C17991"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0E619AE7"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5DD6D838" w14:textId="77777777">
        <w:trPr>
          <w:trHeight w:val="315"/>
          <w:jc w:val="center"/>
        </w:trPr>
        <w:tc>
          <w:tcPr>
            <w:tcW w:w="357" w:type="pct"/>
            <w:noWrap/>
            <w:vAlign w:val="center"/>
          </w:tcPr>
          <w:p w14:paraId="403ED005"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20</w:t>
            </w:r>
          </w:p>
        </w:tc>
        <w:tc>
          <w:tcPr>
            <w:tcW w:w="1619" w:type="pct"/>
            <w:vAlign w:val="center"/>
          </w:tcPr>
          <w:p w14:paraId="44BF241C" w14:textId="77777777" w:rsidR="005A4DB3" w:rsidRDefault="00F11E53">
            <w:pPr>
              <w:jc w:val="center"/>
              <w:rPr>
                <w:rFonts w:ascii="宋体" w:hAnsi="宋体" w:cs="宋体" w:hint="eastAsia"/>
                <w:color w:val="000000"/>
                <w:szCs w:val="21"/>
              </w:rPr>
            </w:pPr>
            <w:r>
              <w:rPr>
                <w:rFonts w:ascii="宋体" w:hAnsi="宋体" w:hint="eastAsia"/>
                <w:color w:val="000000"/>
                <w:szCs w:val="21"/>
              </w:rPr>
              <w:t>张芸</w:t>
            </w:r>
          </w:p>
        </w:tc>
        <w:tc>
          <w:tcPr>
            <w:tcW w:w="831" w:type="pct"/>
            <w:vAlign w:val="center"/>
          </w:tcPr>
          <w:p w14:paraId="73D92D45" w14:textId="77777777" w:rsidR="005A4DB3" w:rsidRDefault="00F11E53">
            <w:pPr>
              <w:jc w:val="right"/>
              <w:rPr>
                <w:rFonts w:ascii="宋体" w:hAnsi="宋体" w:hint="eastAsia"/>
                <w:color w:val="000000"/>
                <w:szCs w:val="21"/>
              </w:rPr>
            </w:pPr>
            <w:r>
              <w:rPr>
                <w:rFonts w:ascii="宋体" w:hAnsi="宋体"/>
                <w:color w:val="000000"/>
                <w:szCs w:val="21"/>
              </w:rPr>
              <w:t>194.532</w:t>
            </w:r>
            <w:r>
              <w:rPr>
                <w:rFonts w:ascii="宋体" w:hAnsi="宋体" w:hint="eastAsia"/>
                <w:color w:val="000000"/>
                <w:szCs w:val="21"/>
              </w:rPr>
              <w:t>0</w:t>
            </w:r>
          </w:p>
        </w:tc>
        <w:tc>
          <w:tcPr>
            <w:tcW w:w="582" w:type="pct"/>
            <w:noWrap/>
            <w:vAlign w:val="center"/>
          </w:tcPr>
          <w:p w14:paraId="6DAAADDE" w14:textId="77777777" w:rsidR="005A4DB3" w:rsidRDefault="00F11E53">
            <w:pPr>
              <w:jc w:val="right"/>
              <w:rPr>
                <w:rFonts w:ascii="宋体" w:hAnsi="宋体" w:hint="eastAsia"/>
                <w:color w:val="000000"/>
                <w:szCs w:val="21"/>
              </w:rPr>
            </w:pPr>
            <w:r>
              <w:rPr>
                <w:rFonts w:ascii="宋体" w:hAnsi="宋体"/>
                <w:color w:val="000000"/>
                <w:szCs w:val="21"/>
              </w:rPr>
              <w:t>0.433</w:t>
            </w:r>
            <w:r>
              <w:rPr>
                <w:rFonts w:ascii="宋体" w:hAnsi="宋体" w:hint="eastAsia"/>
                <w:color w:val="000000"/>
                <w:szCs w:val="21"/>
              </w:rPr>
              <w:t>0</w:t>
            </w:r>
          </w:p>
        </w:tc>
        <w:tc>
          <w:tcPr>
            <w:tcW w:w="832" w:type="pct"/>
            <w:vAlign w:val="center"/>
          </w:tcPr>
          <w:p w14:paraId="47DD1CF4"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08AC877F"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2EBCA837" w14:textId="77777777">
        <w:trPr>
          <w:trHeight w:val="315"/>
          <w:jc w:val="center"/>
        </w:trPr>
        <w:tc>
          <w:tcPr>
            <w:tcW w:w="357" w:type="pct"/>
            <w:noWrap/>
            <w:vAlign w:val="center"/>
          </w:tcPr>
          <w:p w14:paraId="1631C851"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21</w:t>
            </w:r>
          </w:p>
        </w:tc>
        <w:tc>
          <w:tcPr>
            <w:tcW w:w="1619" w:type="pct"/>
            <w:vAlign w:val="center"/>
          </w:tcPr>
          <w:p w14:paraId="0EDE9B74" w14:textId="77777777" w:rsidR="005A4DB3" w:rsidRDefault="00F11E53">
            <w:pPr>
              <w:jc w:val="center"/>
              <w:rPr>
                <w:rFonts w:ascii="宋体" w:hAnsi="宋体" w:cs="宋体" w:hint="eastAsia"/>
                <w:color w:val="000000"/>
                <w:szCs w:val="21"/>
              </w:rPr>
            </w:pPr>
            <w:r>
              <w:rPr>
                <w:rFonts w:ascii="宋体" w:hAnsi="宋体" w:hint="eastAsia"/>
                <w:color w:val="000000"/>
                <w:szCs w:val="21"/>
              </w:rPr>
              <w:t>俞红华</w:t>
            </w:r>
          </w:p>
        </w:tc>
        <w:tc>
          <w:tcPr>
            <w:tcW w:w="831" w:type="pct"/>
            <w:vAlign w:val="center"/>
          </w:tcPr>
          <w:p w14:paraId="0CFE6452" w14:textId="77777777" w:rsidR="005A4DB3" w:rsidRDefault="00F11E53">
            <w:pPr>
              <w:jc w:val="right"/>
              <w:rPr>
                <w:rFonts w:ascii="宋体" w:hAnsi="宋体" w:hint="eastAsia"/>
                <w:color w:val="000000"/>
                <w:szCs w:val="21"/>
              </w:rPr>
            </w:pPr>
            <w:r>
              <w:rPr>
                <w:rFonts w:ascii="宋体" w:hAnsi="宋体"/>
                <w:color w:val="000000"/>
                <w:szCs w:val="21"/>
              </w:rPr>
              <w:t>194.532</w:t>
            </w:r>
            <w:r>
              <w:rPr>
                <w:rFonts w:ascii="宋体" w:hAnsi="宋体" w:hint="eastAsia"/>
                <w:color w:val="000000"/>
                <w:szCs w:val="21"/>
              </w:rPr>
              <w:t>0</w:t>
            </w:r>
          </w:p>
        </w:tc>
        <w:tc>
          <w:tcPr>
            <w:tcW w:w="582" w:type="pct"/>
            <w:noWrap/>
            <w:vAlign w:val="center"/>
          </w:tcPr>
          <w:p w14:paraId="165B5397" w14:textId="77777777" w:rsidR="005A4DB3" w:rsidRDefault="00F11E53">
            <w:pPr>
              <w:jc w:val="right"/>
              <w:rPr>
                <w:rFonts w:ascii="宋体" w:hAnsi="宋体" w:hint="eastAsia"/>
                <w:color w:val="000000"/>
                <w:szCs w:val="21"/>
              </w:rPr>
            </w:pPr>
            <w:r>
              <w:rPr>
                <w:rFonts w:ascii="宋体" w:hAnsi="宋体"/>
                <w:color w:val="000000"/>
                <w:szCs w:val="21"/>
              </w:rPr>
              <w:t>0.433</w:t>
            </w:r>
            <w:r>
              <w:rPr>
                <w:rFonts w:ascii="宋体" w:hAnsi="宋体" w:hint="eastAsia"/>
                <w:color w:val="000000"/>
                <w:szCs w:val="21"/>
              </w:rPr>
              <w:t>0</w:t>
            </w:r>
          </w:p>
        </w:tc>
        <w:tc>
          <w:tcPr>
            <w:tcW w:w="832" w:type="pct"/>
            <w:vAlign w:val="center"/>
          </w:tcPr>
          <w:p w14:paraId="48A28B5E"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EC961E1"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51D8B2BC" w14:textId="77777777">
        <w:trPr>
          <w:trHeight w:val="315"/>
          <w:jc w:val="center"/>
        </w:trPr>
        <w:tc>
          <w:tcPr>
            <w:tcW w:w="357" w:type="pct"/>
            <w:noWrap/>
            <w:vAlign w:val="center"/>
          </w:tcPr>
          <w:p w14:paraId="168E17A8"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22</w:t>
            </w:r>
          </w:p>
        </w:tc>
        <w:tc>
          <w:tcPr>
            <w:tcW w:w="1619" w:type="pct"/>
            <w:vAlign w:val="center"/>
          </w:tcPr>
          <w:p w14:paraId="642E3B0E"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欧阳明</w:t>
            </w:r>
            <w:proofErr w:type="gramEnd"/>
          </w:p>
        </w:tc>
        <w:tc>
          <w:tcPr>
            <w:tcW w:w="831" w:type="pct"/>
            <w:vAlign w:val="center"/>
          </w:tcPr>
          <w:p w14:paraId="5C9C7CAC" w14:textId="77777777" w:rsidR="005A4DB3" w:rsidRDefault="00F11E53">
            <w:pPr>
              <w:jc w:val="right"/>
              <w:rPr>
                <w:rFonts w:ascii="宋体" w:hAnsi="宋体" w:hint="eastAsia"/>
                <w:color w:val="000000"/>
                <w:szCs w:val="21"/>
              </w:rPr>
            </w:pPr>
            <w:r>
              <w:rPr>
                <w:rFonts w:ascii="宋体" w:hAnsi="宋体"/>
                <w:color w:val="000000"/>
                <w:szCs w:val="21"/>
              </w:rPr>
              <w:t>194.532</w:t>
            </w:r>
            <w:r>
              <w:rPr>
                <w:rFonts w:ascii="宋体" w:hAnsi="宋体" w:hint="eastAsia"/>
                <w:color w:val="000000"/>
                <w:szCs w:val="21"/>
              </w:rPr>
              <w:t>0</w:t>
            </w:r>
          </w:p>
        </w:tc>
        <w:tc>
          <w:tcPr>
            <w:tcW w:w="582" w:type="pct"/>
            <w:noWrap/>
            <w:vAlign w:val="center"/>
          </w:tcPr>
          <w:p w14:paraId="7A67C499" w14:textId="77777777" w:rsidR="005A4DB3" w:rsidRDefault="00F11E53">
            <w:pPr>
              <w:jc w:val="right"/>
              <w:rPr>
                <w:rFonts w:ascii="宋体" w:hAnsi="宋体" w:hint="eastAsia"/>
                <w:color w:val="000000"/>
                <w:szCs w:val="21"/>
              </w:rPr>
            </w:pPr>
            <w:r>
              <w:rPr>
                <w:rFonts w:ascii="宋体" w:hAnsi="宋体"/>
                <w:color w:val="000000"/>
                <w:szCs w:val="21"/>
              </w:rPr>
              <w:t>0.433</w:t>
            </w:r>
            <w:r>
              <w:rPr>
                <w:rFonts w:ascii="宋体" w:hAnsi="宋体" w:hint="eastAsia"/>
                <w:color w:val="000000"/>
                <w:szCs w:val="21"/>
              </w:rPr>
              <w:t>0</w:t>
            </w:r>
          </w:p>
        </w:tc>
        <w:tc>
          <w:tcPr>
            <w:tcW w:w="832" w:type="pct"/>
            <w:vAlign w:val="center"/>
          </w:tcPr>
          <w:p w14:paraId="79EE13EB"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3D7F25C4"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2A34EC47" w14:textId="77777777">
        <w:trPr>
          <w:trHeight w:val="315"/>
          <w:jc w:val="center"/>
        </w:trPr>
        <w:tc>
          <w:tcPr>
            <w:tcW w:w="357" w:type="pct"/>
            <w:noWrap/>
            <w:vAlign w:val="center"/>
          </w:tcPr>
          <w:p w14:paraId="014DAAAC"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23</w:t>
            </w:r>
          </w:p>
        </w:tc>
        <w:tc>
          <w:tcPr>
            <w:tcW w:w="1619" w:type="pct"/>
            <w:vAlign w:val="center"/>
          </w:tcPr>
          <w:p w14:paraId="1B9929D4" w14:textId="77777777" w:rsidR="005A4DB3" w:rsidRDefault="00F11E53">
            <w:pPr>
              <w:jc w:val="center"/>
              <w:rPr>
                <w:rFonts w:ascii="宋体" w:hAnsi="宋体" w:cs="宋体" w:hint="eastAsia"/>
                <w:color w:val="000000"/>
                <w:szCs w:val="21"/>
              </w:rPr>
            </w:pPr>
            <w:r>
              <w:rPr>
                <w:rFonts w:ascii="宋体" w:hAnsi="宋体" w:hint="eastAsia"/>
                <w:color w:val="000000"/>
                <w:szCs w:val="21"/>
              </w:rPr>
              <w:t>沈同彦</w:t>
            </w:r>
          </w:p>
        </w:tc>
        <w:tc>
          <w:tcPr>
            <w:tcW w:w="831" w:type="pct"/>
            <w:vAlign w:val="center"/>
          </w:tcPr>
          <w:p w14:paraId="5DE67D56" w14:textId="77777777" w:rsidR="005A4DB3" w:rsidRDefault="00F11E53">
            <w:pPr>
              <w:jc w:val="right"/>
              <w:rPr>
                <w:rFonts w:ascii="宋体" w:hAnsi="宋体" w:hint="eastAsia"/>
                <w:color w:val="000000"/>
                <w:szCs w:val="21"/>
              </w:rPr>
            </w:pPr>
            <w:r>
              <w:rPr>
                <w:rFonts w:ascii="宋体" w:hAnsi="宋体"/>
                <w:color w:val="000000"/>
                <w:szCs w:val="21"/>
              </w:rPr>
              <w:t>155.625</w:t>
            </w:r>
            <w:r>
              <w:rPr>
                <w:rFonts w:ascii="宋体" w:hAnsi="宋体" w:hint="eastAsia"/>
                <w:color w:val="000000"/>
                <w:szCs w:val="21"/>
              </w:rPr>
              <w:t>0</w:t>
            </w:r>
          </w:p>
        </w:tc>
        <w:tc>
          <w:tcPr>
            <w:tcW w:w="582" w:type="pct"/>
            <w:noWrap/>
            <w:vAlign w:val="center"/>
          </w:tcPr>
          <w:p w14:paraId="6E6330FB" w14:textId="77777777" w:rsidR="005A4DB3" w:rsidRDefault="00F11E53">
            <w:pPr>
              <w:jc w:val="right"/>
              <w:rPr>
                <w:rFonts w:ascii="宋体" w:hAnsi="宋体" w:hint="eastAsia"/>
                <w:color w:val="000000"/>
                <w:szCs w:val="21"/>
              </w:rPr>
            </w:pPr>
            <w:r>
              <w:rPr>
                <w:rFonts w:ascii="宋体" w:hAnsi="宋体"/>
                <w:color w:val="000000"/>
                <w:szCs w:val="21"/>
              </w:rPr>
              <w:t>0.347</w:t>
            </w:r>
            <w:r>
              <w:rPr>
                <w:rFonts w:ascii="宋体" w:hAnsi="宋体" w:hint="eastAsia"/>
                <w:color w:val="000000"/>
                <w:szCs w:val="21"/>
              </w:rPr>
              <w:t>0</w:t>
            </w:r>
          </w:p>
        </w:tc>
        <w:tc>
          <w:tcPr>
            <w:tcW w:w="832" w:type="pct"/>
            <w:vAlign w:val="center"/>
          </w:tcPr>
          <w:p w14:paraId="6E5B0285"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347C938A"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75524D99" w14:textId="77777777">
        <w:trPr>
          <w:trHeight w:val="315"/>
          <w:jc w:val="center"/>
        </w:trPr>
        <w:tc>
          <w:tcPr>
            <w:tcW w:w="357" w:type="pct"/>
            <w:noWrap/>
            <w:vAlign w:val="center"/>
          </w:tcPr>
          <w:p w14:paraId="4B591CC9"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24</w:t>
            </w:r>
          </w:p>
        </w:tc>
        <w:tc>
          <w:tcPr>
            <w:tcW w:w="1619" w:type="pct"/>
            <w:vAlign w:val="center"/>
          </w:tcPr>
          <w:p w14:paraId="34B21F51" w14:textId="77777777" w:rsidR="005A4DB3" w:rsidRDefault="00F11E53">
            <w:pPr>
              <w:jc w:val="center"/>
              <w:rPr>
                <w:rFonts w:ascii="宋体" w:hAnsi="宋体" w:cs="宋体" w:hint="eastAsia"/>
                <w:color w:val="000000"/>
                <w:szCs w:val="21"/>
              </w:rPr>
            </w:pPr>
            <w:r>
              <w:rPr>
                <w:rFonts w:ascii="宋体" w:hAnsi="宋体" w:hint="eastAsia"/>
                <w:color w:val="000000"/>
                <w:szCs w:val="21"/>
              </w:rPr>
              <w:t>高杨</w:t>
            </w:r>
          </w:p>
        </w:tc>
        <w:tc>
          <w:tcPr>
            <w:tcW w:w="831" w:type="pct"/>
            <w:vAlign w:val="center"/>
          </w:tcPr>
          <w:p w14:paraId="3068272A" w14:textId="77777777" w:rsidR="005A4DB3" w:rsidRDefault="00F11E53">
            <w:pPr>
              <w:jc w:val="right"/>
              <w:rPr>
                <w:rFonts w:ascii="宋体" w:hAnsi="宋体" w:hint="eastAsia"/>
                <w:color w:val="000000"/>
                <w:szCs w:val="21"/>
              </w:rPr>
            </w:pPr>
            <w:r>
              <w:rPr>
                <w:rFonts w:ascii="宋体" w:hAnsi="宋体"/>
                <w:color w:val="000000"/>
                <w:szCs w:val="21"/>
              </w:rPr>
              <w:t>160.00</w:t>
            </w:r>
            <w:r>
              <w:rPr>
                <w:rFonts w:ascii="宋体" w:hAnsi="宋体" w:hint="eastAsia"/>
                <w:color w:val="000000"/>
                <w:szCs w:val="21"/>
              </w:rPr>
              <w:t>0</w:t>
            </w:r>
            <w:r>
              <w:rPr>
                <w:rFonts w:ascii="宋体" w:hAnsi="宋体"/>
                <w:color w:val="000000"/>
                <w:szCs w:val="21"/>
              </w:rPr>
              <w:t>0</w:t>
            </w:r>
          </w:p>
        </w:tc>
        <w:tc>
          <w:tcPr>
            <w:tcW w:w="582" w:type="pct"/>
            <w:noWrap/>
            <w:vAlign w:val="center"/>
          </w:tcPr>
          <w:p w14:paraId="26B34DB3" w14:textId="77777777" w:rsidR="005A4DB3" w:rsidRDefault="00F11E53">
            <w:pPr>
              <w:jc w:val="right"/>
              <w:rPr>
                <w:rFonts w:ascii="宋体" w:hAnsi="宋体" w:hint="eastAsia"/>
                <w:color w:val="000000"/>
                <w:szCs w:val="21"/>
              </w:rPr>
            </w:pPr>
            <w:r>
              <w:rPr>
                <w:rFonts w:ascii="宋体" w:hAnsi="宋体"/>
                <w:color w:val="000000"/>
                <w:szCs w:val="21"/>
              </w:rPr>
              <w:t>0.356</w:t>
            </w:r>
            <w:r>
              <w:rPr>
                <w:rFonts w:ascii="宋体" w:hAnsi="宋体" w:hint="eastAsia"/>
                <w:color w:val="000000"/>
                <w:szCs w:val="21"/>
              </w:rPr>
              <w:t>0</w:t>
            </w:r>
          </w:p>
        </w:tc>
        <w:tc>
          <w:tcPr>
            <w:tcW w:w="832" w:type="pct"/>
            <w:vAlign w:val="center"/>
          </w:tcPr>
          <w:p w14:paraId="47B8A4E4"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19AA901"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47ADBA0A" w14:textId="77777777">
        <w:trPr>
          <w:trHeight w:val="315"/>
          <w:jc w:val="center"/>
        </w:trPr>
        <w:tc>
          <w:tcPr>
            <w:tcW w:w="357" w:type="pct"/>
            <w:noWrap/>
            <w:vAlign w:val="center"/>
          </w:tcPr>
          <w:p w14:paraId="7177D64C"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25</w:t>
            </w:r>
          </w:p>
        </w:tc>
        <w:tc>
          <w:tcPr>
            <w:tcW w:w="1619" w:type="pct"/>
            <w:vAlign w:val="center"/>
          </w:tcPr>
          <w:p w14:paraId="1D651B38" w14:textId="77777777" w:rsidR="005A4DB3" w:rsidRDefault="00F11E53">
            <w:pPr>
              <w:jc w:val="center"/>
              <w:rPr>
                <w:rFonts w:ascii="宋体" w:hAnsi="宋体" w:cs="宋体" w:hint="eastAsia"/>
                <w:color w:val="000000"/>
                <w:szCs w:val="21"/>
              </w:rPr>
            </w:pPr>
            <w:r>
              <w:rPr>
                <w:rFonts w:ascii="宋体" w:hAnsi="宋体" w:hint="eastAsia"/>
                <w:color w:val="000000"/>
                <w:szCs w:val="21"/>
              </w:rPr>
              <w:t>陈明洋</w:t>
            </w:r>
          </w:p>
        </w:tc>
        <w:tc>
          <w:tcPr>
            <w:tcW w:w="831" w:type="pct"/>
            <w:vAlign w:val="center"/>
          </w:tcPr>
          <w:p w14:paraId="4AD205B1" w14:textId="77777777" w:rsidR="005A4DB3" w:rsidRDefault="00F11E53">
            <w:pPr>
              <w:jc w:val="right"/>
              <w:rPr>
                <w:rFonts w:ascii="宋体" w:hAnsi="宋体" w:hint="eastAsia"/>
                <w:color w:val="000000"/>
                <w:szCs w:val="21"/>
              </w:rPr>
            </w:pPr>
            <w:r>
              <w:rPr>
                <w:rFonts w:ascii="宋体" w:hAnsi="宋体"/>
                <w:color w:val="000000"/>
                <w:szCs w:val="21"/>
              </w:rPr>
              <w:t>171.0</w:t>
            </w:r>
            <w:r>
              <w:rPr>
                <w:rFonts w:ascii="宋体" w:hAnsi="宋体" w:hint="eastAsia"/>
                <w:color w:val="000000"/>
                <w:szCs w:val="21"/>
              </w:rPr>
              <w:t>0</w:t>
            </w:r>
            <w:r>
              <w:rPr>
                <w:rFonts w:ascii="宋体" w:hAnsi="宋体"/>
                <w:color w:val="000000"/>
                <w:szCs w:val="21"/>
              </w:rPr>
              <w:t>00</w:t>
            </w:r>
          </w:p>
        </w:tc>
        <w:tc>
          <w:tcPr>
            <w:tcW w:w="582" w:type="pct"/>
            <w:noWrap/>
            <w:vAlign w:val="center"/>
          </w:tcPr>
          <w:p w14:paraId="763122AD" w14:textId="77777777" w:rsidR="005A4DB3" w:rsidRDefault="00F11E53">
            <w:pPr>
              <w:jc w:val="right"/>
              <w:rPr>
                <w:rFonts w:ascii="宋体" w:hAnsi="宋体" w:hint="eastAsia"/>
                <w:color w:val="000000"/>
                <w:szCs w:val="21"/>
              </w:rPr>
            </w:pPr>
            <w:r>
              <w:rPr>
                <w:rFonts w:ascii="宋体" w:hAnsi="宋体"/>
                <w:color w:val="000000"/>
                <w:szCs w:val="21"/>
              </w:rPr>
              <w:t>0.381</w:t>
            </w:r>
            <w:r>
              <w:rPr>
                <w:rFonts w:ascii="宋体" w:hAnsi="宋体" w:hint="eastAsia"/>
                <w:color w:val="000000"/>
                <w:szCs w:val="21"/>
              </w:rPr>
              <w:t>0</w:t>
            </w:r>
          </w:p>
        </w:tc>
        <w:tc>
          <w:tcPr>
            <w:tcW w:w="832" w:type="pct"/>
            <w:vAlign w:val="center"/>
          </w:tcPr>
          <w:p w14:paraId="560C3CB5"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2E81E151"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9BE18F5" w14:textId="77777777">
        <w:trPr>
          <w:trHeight w:val="315"/>
          <w:jc w:val="center"/>
        </w:trPr>
        <w:tc>
          <w:tcPr>
            <w:tcW w:w="357" w:type="pct"/>
            <w:noWrap/>
            <w:vAlign w:val="center"/>
          </w:tcPr>
          <w:p w14:paraId="6EC6F4C3"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26</w:t>
            </w:r>
          </w:p>
        </w:tc>
        <w:tc>
          <w:tcPr>
            <w:tcW w:w="1619" w:type="pct"/>
            <w:vAlign w:val="center"/>
          </w:tcPr>
          <w:p w14:paraId="61A8C297"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储根法</w:t>
            </w:r>
            <w:proofErr w:type="gramEnd"/>
          </w:p>
        </w:tc>
        <w:tc>
          <w:tcPr>
            <w:tcW w:w="831" w:type="pct"/>
            <w:vAlign w:val="center"/>
          </w:tcPr>
          <w:p w14:paraId="223E0E79" w14:textId="77777777" w:rsidR="005A4DB3" w:rsidRDefault="00F11E53">
            <w:pPr>
              <w:jc w:val="right"/>
              <w:rPr>
                <w:rFonts w:ascii="宋体" w:hAnsi="宋体" w:hint="eastAsia"/>
                <w:color w:val="000000"/>
                <w:szCs w:val="21"/>
              </w:rPr>
            </w:pPr>
            <w:r>
              <w:rPr>
                <w:rFonts w:ascii="宋体" w:hAnsi="宋体"/>
                <w:color w:val="000000"/>
                <w:szCs w:val="21"/>
              </w:rPr>
              <w:t>145.0</w:t>
            </w:r>
            <w:r>
              <w:rPr>
                <w:rFonts w:ascii="宋体" w:hAnsi="宋体" w:hint="eastAsia"/>
                <w:color w:val="000000"/>
                <w:szCs w:val="21"/>
              </w:rPr>
              <w:t>0</w:t>
            </w:r>
            <w:r>
              <w:rPr>
                <w:rFonts w:ascii="宋体" w:hAnsi="宋体"/>
                <w:color w:val="000000"/>
                <w:szCs w:val="21"/>
              </w:rPr>
              <w:t>00</w:t>
            </w:r>
          </w:p>
        </w:tc>
        <w:tc>
          <w:tcPr>
            <w:tcW w:w="582" w:type="pct"/>
            <w:noWrap/>
            <w:vAlign w:val="center"/>
          </w:tcPr>
          <w:p w14:paraId="41BDF5D9" w14:textId="77777777" w:rsidR="005A4DB3" w:rsidRDefault="00F11E53">
            <w:pPr>
              <w:jc w:val="right"/>
              <w:rPr>
                <w:rFonts w:ascii="宋体" w:hAnsi="宋体" w:hint="eastAsia"/>
                <w:color w:val="000000"/>
                <w:szCs w:val="21"/>
              </w:rPr>
            </w:pPr>
            <w:r>
              <w:rPr>
                <w:rFonts w:ascii="宋体" w:hAnsi="宋体"/>
                <w:color w:val="000000"/>
                <w:szCs w:val="21"/>
              </w:rPr>
              <w:t>0.323</w:t>
            </w:r>
            <w:r>
              <w:rPr>
                <w:rFonts w:ascii="宋体" w:hAnsi="宋体" w:hint="eastAsia"/>
                <w:color w:val="000000"/>
                <w:szCs w:val="21"/>
              </w:rPr>
              <w:t>0</w:t>
            </w:r>
          </w:p>
        </w:tc>
        <w:tc>
          <w:tcPr>
            <w:tcW w:w="832" w:type="pct"/>
            <w:vAlign w:val="center"/>
          </w:tcPr>
          <w:p w14:paraId="2F8D6105"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5DCFD8D4"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7412F61B" w14:textId="77777777">
        <w:trPr>
          <w:trHeight w:val="315"/>
          <w:jc w:val="center"/>
        </w:trPr>
        <w:tc>
          <w:tcPr>
            <w:tcW w:w="357" w:type="pct"/>
            <w:noWrap/>
            <w:vAlign w:val="center"/>
          </w:tcPr>
          <w:p w14:paraId="5CD01D9C"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27</w:t>
            </w:r>
          </w:p>
        </w:tc>
        <w:tc>
          <w:tcPr>
            <w:tcW w:w="1619" w:type="pct"/>
            <w:vAlign w:val="center"/>
          </w:tcPr>
          <w:p w14:paraId="370CC2C3" w14:textId="77777777" w:rsidR="005A4DB3" w:rsidRDefault="00F11E53">
            <w:pPr>
              <w:jc w:val="center"/>
              <w:rPr>
                <w:rFonts w:ascii="宋体" w:hAnsi="宋体" w:cs="宋体" w:hint="eastAsia"/>
                <w:color w:val="000000"/>
                <w:szCs w:val="21"/>
              </w:rPr>
            </w:pPr>
            <w:proofErr w:type="gramStart"/>
            <w:r>
              <w:rPr>
                <w:rFonts w:ascii="宋体" w:hAnsi="宋体" w:hint="eastAsia"/>
                <w:color w:val="000000"/>
                <w:szCs w:val="21"/>
              </w:rPr>
              <w:t>施秀莹</w:t>
            </w:r>
            <w:proofErr w:type="gramEnd"/>
          </w:p>
        </w:tc>
        <w:tc>
          <w:tcPr>
            <w:tcW w:w="831" w:type="pct"/>
            <w:vAlign w:val="center"/>
          </w:tcPr>
          <w:p w14:paraId="7F988B8D" w14:textId="77777777" w:rsidR="005A4DB3" w:rsidRDefault="00F11E53">
            <w:pPr>
              <w:jc w:val="right"/>
              <w:rPr>
                <w:rFonts w:ascii="宋体" w:hAnsi="宋体" w:hint="eastAsia"/>
                <w:color w:val="000000"/>
                <w:szCs w:val="21"/>
              </w:rPr>
            </w:pPr>
            <w:r>
              <w:rPr>
                <w:rFonts w:ascii="宋体" w:hAnsi="宋体"/>
                <w:color w:val="000000"/>
                <w:szCs w:val="21"/>
              </w:rPr>
              <w:t>95.00</w:t>
            </w:r>
            <w:r>
              <w:rPr>
                <w:rFonts w:ascii="宋体" w:hAnsi="宋体" w:hint="eastAsia"/>
                <w:color w:val="000000"/>
                <w:szCs w:val="21"/>
              </w:rPr>
              <w:t>0</w:t>
            </w:r>
            <w:r>
              <w:rPr>
                <w:rFonts w:ascii="宋体" w:hAnsi="宋体"/>
                <w:color w:val="000000"/>
                <w:szCs w:val="21"/>
              </w:rPr>
              <w:t>0</w:t>
            </w:r>
          </w:p>
        </w:tc>
        <w:tc>
          <w:tcPr>
            <w:tcW w:w="582" w:type="pct"/>
            <w:noWrap/>
            <w:vAlign w:val="center"/>
          </w:tcPr>
          <w:p w14:paraId="1A2EA2D3" w14:textId="77777777" w:rsidR="005A4DB3" w:rsidRDefault="00F11E53">
            <w:pPr>
              <w:jc w:val="right"/>
              <w:rPr>
                <w:rFonts w:ascii="宋体" w:hAnsi="宋体" w:hint="eastAsia"/>
                <w:color w:val="000000"/>
                <w:szCs w:val="21"/>
              </w:rPr>
            </w:pPr>
            <w:r>
              <w:rPr>
                <w:rFonts w:ascii="宋体" w:hAnsi="宋体"/>
                <w:color w:val="000000"/>
                <w:szCs w:val="21"/>
              </w:rPr>
              <w:t>0.212</w:t>
            </w:r>
            <w:r>
              <w:rPr>
                <w:rFonts w:ascii="宋体" w:hAnsi="宋体" w:hint="eastAsia"/>
                <w:color w:val="000000"/>
                <w:szCs w:val="21"/>
              </w:rPr>
              <w:t>0</w:t>
            </w:r>
          </w:p>
        </w:tc>
        <w:tc>
          <w:tcPr>
            <w:tcW w:w="832" w:type="pct"/>
            <w:vAlign w:val="center"/>
          </w:tcPr>
          <w:p w14:paraId="0A294336"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6C0417D3"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55847E47" w14:textId="77777777">
        <w:trPr>
          <w:trHeight w:val="315"/>
          <w:jc w:val="center"/>
        </w:trPr>
        <w:tc>
          <w:tcPr>
            <w:tcW w:w="357" w:type="pct"/>
            <w:noWrap/>
            <w:vAlign w:val="center"/>
          </w:tcPr>
          <w:p w14:paraId="16785EC6"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28</w:t>
            </w:r>
          </w:p>
        </w:tc>
        <w:tc>
          <w:tcPr>
            <w:tcW w:w="1619" w:type="pct"/>
            <w:vAlign w:val="center"/>
          </w:tcPr>
          <w:p w14:paraId="22D89A3D" w14:textId="77777777" w:rsidR="005A4DB3" w:rsidRDefault="00F11E53">
            <w:pPr>
              <w:jc w:val="center"/>
              <w:rPr>
                <w:rFonts w:ascii="宋体" w:hAnsi="宋体" w:cs="宋体" w:hint="eastAsia"/>
                <w:color w:val="000000"/>
                <w:szCs w:val="21"/>
              </w:rPr>
            </w:pPr>
            <w:r>
              <w:rPr>
                <w:rFonts w:ascii="宋体" w:hAnsi="宋体" w:hint="eastAsia"/>
                <w:color w:val="000000"/>
                <w:szCs w:val="21"/>
              </w:rPr>
              <w:t>吕鑫燚</w:t>
            </w:r>
          </w:p>
        </w:tc>
        <w:tc>
          <w:tcPr>
            <w:tcW w:w="831" w:type="pct"/>
            <w:vAlign w:val="center"/>
          </w:tcPr>
          <w:p w14:paraId="6AA1D480" w14:textId="77777777" w:rsidR="005A4DB3" w:rsidRDefault="00F11E53">
            <w:pPr>
              <w:jc w:val="right"/>
              <w:rPr>
                <w:rFonts w:ascii="宋体" w:hAnsi="宋体" w:hint="eastAsia"/>
                <w:color w:val="000000"/>
                <w:szCs w:val="21"/>
              </w:rPr>
            </w:pPr>
            <w:r>
              <w:rPr>
                <w:rFonts w:ascii="宋体" w:hAnsi="宋体"/>
                <w:color w:val="000000"/>
                <w:szCs w:val="21"/>
              </w:rPr>
              <w:t>81.00</w:t>
            </w:r>
            <w:r>
              <w:rPr>
                <w:rFonts w:ascii="宋体" w:hAnsi="宋体" w:hint="eastAsia"/>
                <w:color w:val="000000"/>
                <w:szCs w:val="21"/>
              </w:rPr>
              <w:t>0</w:t>
            </w:r>
            <w:r>
              <w:rPr>
                <w:rFonts w:ascii="宋体" w:hAnsi="宋体"/>
                <w:color w:val="000000"/>
                <w:szCs w:val="21"/>
              </w:rPr>
              <w:t>0</w:t>
            </w:r>
          </w:p>
        </w:tc>
        <w:tc>
          <w:tcPr>
            <w:tcW w:w="582" w:type="pct"/>
            <w:noWrap/>
            <w:vAlign w:val="center"/>
          </w:tcPr>
          <w:p w14:paraId="5D621122" w14:textId="77777777" w:rsidR="005A4DB3" w:rsidRDefault="00F11E53">
            <w:pPr>
              <w:jc w:val="right"/>
              <w:rPr>
                <w:rFonts w:ascii="宋体" w:hAnsi="宋体" w:hint="eastAsia"/>
                <w:color w:val="000000"/>
                <w:szCs w:val="21"/>
              </w:rPr>
            </w:pPr>
            <w:r>
              <w:rPr>
                <w:rFonts w:ascii="宋体" w:hAnsi="宋体"/>
                <w:color w:val="000000"/>
                <w:szCs w:val="21"/>
              </w:rPr>
              <w:t>0.180</w:t>
            </w:r>
            <w:r>
              <w:rPr>
                <w:rFonts w:ascii="宋体" w:hAnsi="宋体" w:hint="eastAsia"/>
                <w:color w:val="000000"/>
                <w:szCs w:val="21"/>
              </w:rPr>
              <w:t>0</w:t>
            </w:r>
          </w:p>
        </w:tc>
        <w:tc>
          <w:tcPr>
            <w:tcW w:w="832" w:type="pct"/>
            <w:vAlign w:val="center"/>
          </w:tcPr>
          <w:p w14:paraId="16382F01"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046FF130"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0D0F2FEB" w14:textId="77777777">
        <w:trPr>
          <w:trHeight w:val="315"/>
          <w:jc w:val="center"/>
        </w:trPr>
        <w:tc>
          <w:tcPr>
            <w:tcW w:w="357" w:type="pct"/>
            <w:noWrap/>
            <w:vAlign w:val="center"/>
          </w:tcPr>
          <w:p w14:paraId="56ED3A57"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29</w:t>
            </w:r>
          </w:p>
        </w:tc>
        <w:tc>
          <w:tcPr>
            <w:tcW w:w="1619" w:type="pct"/>
            <w:vAlign w:val="center"/>
          </w:tcPr>
          <w:p w14:paraId="65E3FF8F" w14:textId="77777777" w:rsidR="005A4DB3" w:rsidRDefault="00F11E53">
            <w:pPr>
              <w:jc w:val="center"/>
              <w:rPr>
                <w:rFonts w:ascii="宋体" w:hAnsi="宋体" w:cs="宋体" w:hint="eastAsia"/>
                <w:color w:val="000000"/>
                <w:szCs w:val="21"/>
              </w:rPr>
            </w:pPr>
            <w:r>
              <w:rPr>
                <w:rFonts w:ascii="宋体" w:hAnsi="宋体" w:hint="eastAsia"/>
                <w:color w:val="000000"/>
                <w:szCs w:val="21"/>
              </w:rPr>
              <w:t>徐拥军</w:t>
            </w:r>
          </w:p>
        </w:tc>
        <w:tc>
          <w:tcPr>
            <w:tcW w:w="831" w:type="pct"/>
            <w:vAlign w:val="center"/>
          </w:tcPr>
          <w:p w14:paraId="76CFF6A0" w14:textId="77777777" w:rsidR="005A4DB3" w:rsidRDefault="00F11E53">
            <w:pPr>
              <w:jc w:val="right"/>
              <w:rPr>
                <w:rFonts w:ascii="宋体" w:hAnsi="宋体" w:hint="eastAsia"/>
                <w:color w:val="000000"/>
                <w:szCs w:val="21"/>
              </w:rPr>
            </w:pPr>
            <w:r>
              <w:rPr>
                <w:rFonts w:ascii="宋体" w:hAnsi="宋体"/>
                <w:color w:val="000000"/>
                <w:szCs w:val="21"/>
              </w:rPr>
              <w:t>65.00</w:t>
            </w:r>
            <w:r>
              <w:rPr>
                <w:rFonts w:ascii="宋体" w:hAnsi="宋体" w:hint="eastAsia"/>
                <w:color w:val="000000"/>
                <w:szCs w:val="21"/>
              </w:rPr>
              <w:t>0</w:t>
            </w:r>
            <w:r>
              <w:rPr>
                <w:rFonts w:ascii="宋体" w:hAnsi="宋体"/>
                <w:color w:val="000000"/>
                <w:szCs w:val="21"/>
              </w:rPr>
              <w:t>0</w:t>
            </w:r>
          </w:p>
        </w:tc>
        <w:tc>
          <w:tcPr>
            <w:tcW w:w="582" w:type="pct"/>
            <w:noWrap/>
            <w:vAlign w:val="center"/>
          </w:tcPr>
          <w:p w14:paraId="233544A0" w14:textId="77777777" w:rsidR="005A4DB3" w:rsidRDefault="00F11E53">
            <w:pPr>
              <w:jc w:val="right"/>
              <w:rPr>
                <w:rFonts w:ascii="宋体" w:hAnsi="宋体" w:hint="eastAsia"/>
                <w:color w:val="000000"/>
                <w:szCs w:val="21"/>
              </w:rPr>
            </w:pPr>
            <w:r>
              <w:rPr>
                <w:rFonts w:ascii="宋体" w:hAnsi="宋体"/>
                <w:color w:val="000000"/>
                <w:szCs w:val="21"/>
              </w:rPr>
              <w:t>0.145</w:t>
            </w:r>
            <w:r>
              <w:rPr>
                <w:rFonts w:ascii="宋体" w:hAnsi="宋体" w:hint="eastAsia"/>
                <w:color w:val="000000"/>
                <w:szCs w:val="21"/>
              </w:rPr>
              <w:t>0</w:t>
            </w:r>
          </w:p>
        </w:tc>
        <w:tc>
          <w:tcPr>
            <w:tcW w:w="832" w:type="pct"/>
            <w:vAlign w:val="center"/>
          </w:tcPr>
          <w:p w14:paraId="4D966233"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D422196"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287BD0C0" w14:textId="77777777">
        <w:trPr>
          <w:trHeight w:val="315"/>
          <w:jc w:val="center"/>
        </w:trPr>
        <w:tc>
          <w:tcPr>
            <w:tcW w:w="357" w:type="pct"/>
            <w:noWrap/>
            <w:vAlign w:val="center"/>
          </w:tcPr>
          <w:p w14:paraId="1AADF53C"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30</w:t>
            </w:r>
          </w:p>
        </w:tc>
        <w:tc>
          <w:tcPr>
            <w:tcW w:w="1619" w:type="pct"/>
            <w:vAlign w:val="center"/>
          </w:tcPr>
          <w:p w14:paraId="1EA5AE61" w14:textId="77777777" w:rsidR="005A4DB3" w:rsidRDefault="00F11E53">
            <w:pPr>
              <w:jc w:val="center"/>
              <w:rPr>
                <w:rFonts w:ascii="宋体" w:hAnsi="宋体" w:cs="宋体" w:hint="eastAsia"/>
                <w:color w:val="000000"/>
                <w:szCs w:val="21"/>
              </w:rPr>
            </w:pPr>
            <w:r>
              <w:rPr>
                <w:rFonts w:ascii="宋体" w:hAnsi="宋体" w:hint="eastAsia"/>
                <w:color w:val="000000"/>
                <w:szCs w:val="21"/>
              </w:rPr>
              <w:t>刘军</w:t>
            </w:r>
          </w:p>
        </w:tc>
        <w:tc>
          <w:tcPr>
            <w:tcW w:w="831" w:type="pct"/>
            <w:vAlign w:val="center"/>
          </w:tcPr>
          <w:p w14:paraId="551F7FD3" w14:textId="77777777" w:rsidR="005A4DB3" w:rsidRDefault="00F11E53">
            <w:pPr>
              <w:jc w:val="right"/>
              <w:rPr>
                <w:rFonts w:ascii="宋体" w:hAnsi="宋体" w:hint="eastAsia"/>
                <w:color w:val="000000"/>
                <w:szCs w:val="21"/>
              </w:rPr>
            </w:pPr>
            <w:r>
              <w:rPr>
                <w:rFonts w:ascii="宋体" w:hAnsi="宋体"/>
                <w:color w:val="000000"/>
                <w:szCs w:val="21"/>
              </w:rPr>
              <w:t>60.00</w:t>
            </w:r>
            <w:r>
              <w:rPr>
                <w:rFonts w:ascii="宋体" w:hAnsi="宋体" w:hint="eastAsia"/>
                <w:color w:val="000000"/>
                <w:szCs w:val="21"/>
              </w:rPr>
              <w:t>0</w:t>
            </w:r>
            <w:r>
              <w:rPr>
                <w:rFonts w:ascii="宋体" w:hAnsi="宋体"/>
                <w:color w:val="000000"/>
                <w:szCs w:val="21"/>
              </w:rPr>
              <w:t>0</w:t>
            </w:r>
          </w:p>
        </w:tc>
        <w:tc>
          <w:tcPr>
            <w:tcW w:w="582" w:type="pct"/>
            <w:noWrap/>
            <w:vAlign w:val="center"/>
          </w:tcPr>
          <w:p w14:paraId="3477B185" w14:textId="77777777" w:rsidR="005A4DB3" w:rsidRDefault="00F11E53">
            <w:pPr>
              <w:jc w:val="right"/>
              <w:rPr>
                <w:rFonts w:ascii="宋体" w:hAnsi="宋体" w:hint="eastAsia"/>
                <w:color w:val="000000"/>
                <w:szCs w:val="21"/>
              </w:rPr>
            </w:pPr>
            <w:r>
              <w:rPr>
                <w:rFonts w:ascii="宋体" w:hAnsi="宋体"/>
                <w:color w:val="000000"/>
                <w:szCs w:val="21"/>
              </w:rPr>
              <w:t>0.134</w:t>
            </w:r>
            <w:r>
              <w:rPr>
                <w:rFonts w:ascii="宋体" w:hAnsi="宋体" w:hint="eastAsia"/>
                <w:color w:val="000000"/>
                <w:szCs w:val="21"/>
              </w:rPr>
              <w:t>0</w:t>
            </w:r>
          </w:p>
        </w:tc>
        <w:tc>
          <w:tcPr>
            <w:tcW w:w="832" w:type="pct"/>
            <w:vAlign w:val="center"/>
          </w:tcPr>
          <w:p w14:paraId="6EE21C6C"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736944A8"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1A37508D" w14:textId="77777777">
        <w:trPr>
          <w:trHeight w:val="315"/>
          <w:jc w:val="center"/>
        </w:trPr>
        <w:tc>
          <w:tcPr>
            <w:tcW w:w="357" w:type="pct"/>
            <w:noWrap/>
            <w:vAlign w:val="center"/>
          </w:tcPr>
          <w:p w14:paraId="310428FF" w14:textId="77777777" w:rsidR="005A4DB3" w:rsidRDefault="00F11E53">
            <w:pPr>
              <w:widowControl/>
              <w:jc w:val="center"/>
              <w:rPr>
                <w:rFonts w:ascii="宋体" w:hAnsi="宋体" w:hint="eastAsia"/>
                <w:color w:val="000000"/>
                <w:kern w:val="0"/>
                <w:szCs w:val="21"/>
              </w:rPr>
            </w:pPr>
            <w:r>
              <w:rPr>
                <w:rFonts w:ascii="宋体" w:hAnsi="宋体" w:hint="eastAsia"/>
                <w:color w:val="000000"/>
                <w:kern w:val="0"/>
                <w:szCs w:val="21"/>
              </w:rPr>
              <w:t>31</w:t>
            </w:r>
          </w:p>
        </w:tc>
        <w:tc>
          <w:tcPr>
            <w:tcW w:w="1619" w:type="pct"/>
            <w:vAlign w:val="center"/>
          </w:tcPr>
          <w:p w14:paraId="07A590E9" w14:textId="77777777" w:rsidR="005A4DB3" w:rsidRDefault="00F11E53">
            <w:pPr>
              <w:jc w:val="center"/>
              <w:rPr>
                <w:rFonts w:ascii="宋体" w:hAnsi="宋体" w:cs="宋体" w:hint="eastAsia"/>
                <w:color w:val="000000"/>
                <w:szCs w:val="21"/>
              </w:rPr>
            </w:pPr>
            <w:r>
              <w:rPr>
                <w:rFonts w:ascii="宋体" w:hAnsi="宋体" w:hint="eastAsia"/>
                <w:color w:val="000000"/>
                <w:szCs w:val="21"/>
              </w:rPr>
              <w:t>曹振明</w:t>
            </w:r>
          </w:p>
        </w:tc>
        <w:tc>
          <w:tcPr>
            <w:tcW w:w="831" w:type="pct"/>
            <w:vAlign w:val="center"/>
          </w:tcPr>
          <w:p w14:paraId="75B4FF0D" w14:textId="77777777" w:rsidR="005A4DB3" w:rsidRDefault="00F11E53">
            <w:pPr>
              <w:jc w:val="right"/>
              <w:rPr>
                <w:rFonts w:ascii="宋体" w:hAnsi="宋体" w:hint="eastAsia"/>
                <w:color w:val="000000"/>
                <w:szCs w:val="21"/>
              </w:rPr>
            </w:pPr>
            <w:r>
              <w:rPr>
                <w:rFonts w:ascii="宋体" w:hAnsi="宋体"/>
                <w:color w:val="000000"/>
                <w:szCs w:val="21"/>
              </w:rPr>
              <w:t>46.000</w:t>
            </w:r>
            <w:r>
              <w:rPr>
                <w:rFonts w:ascii="宋体" w:hAnsi="宋体" w:hint="eastAsia"/>
                <w:color w:val="000000"/>
                <w:szCs w:val="21"/>
              </w:rPr>
              <w:t>0</w:t>
            </w:r>
          </w:p>
        </w:tc>
        <w:tc>
          <w:tcPr>
            <w:tcW w:w="582" w:type="pct"/>
            <w:noWrap/>
            <w:vAlign w:val="center"/>
          </w:tcPr>
          <w:p w14:paraId="3BA98FB5" w14:textId="77777777" w:rsidR="005A4DB3" w:rsidRDefault="00F11E53">
            <w:pPr>
              <w:jc w:val="right"/>
              <w:rPr>
                <w:rFonts w:ascii="宋体" w:hAnsi="宋体" w:hint="eastAsia"/>
                <w:color w:val="000000"/>
                <w:szCs w:val="21"/>
              </w:rPr>
            </w:pPr>
            <w:r>
              <w:rPr>
                <w:rFonts w:ascii="宋体" w:hAnsi="宋体"/>
                <w:color w:val="000000"/>
                <w:szCs w:val="21"/>
              </w:rPr>
              <w:t>0.102</w:t>
            </w:r>
            <w:r>
              <w:rPr>
                <w:rFonts w:ascii="宋体" w:hAnsi="宋体" w:hint="eastAsia"/>
                <w:color w:val="000000"/>
                <w:szCs w:val="21"/>
              </w:rPr>
              <w:t>0</w:t>
            </w:r>
          </w:p>
        </w:tc>
        <w:tc>
          <w:tcPr>
            <w:tcW w:w="832" w:type="pct"/>
            <w:vAlign w:val="center"/>
          </w:tcPr>
          <w:p w14:paraId="72FAE180" w14:textId="77777777" w:rsidR="005A4DB3" w:rsidRDefault="00F11E53">
            <w:pPr>
              <w:jc w:val="center"/>
              <w:rPr>
                <w:rFonts w:ascii="宋体" w:hAnsi="宋体" w:hint="eastAsia"/>
                <w:szCs w:val="21"/>
              </w:rPr>
            </w:pPr>
            <w:r>
              <w:rPr>
                <w:rFonts w:ascii="宋体" w:hAnsi="宋体" w:hint="eastAsia"/>
                <w:color w:val="000000"/>
                <w:szCs w:val="21"/>
              </w:rPr>
              <w:t>净资产折股</w:t>
            </w:r>
          </w:p>
        </w:tc>
        <w:tc>
          <w:tcPr>
            <w:tcW w:w="778" w:type="pct"/>
            <w:vAlign w:val="center"/>
          </w:tcPr>
          <w:p w14:paraId="1DA9E809" w14:textId="77777777" w:rsidR="005A4DB3" w:rsidRDefault="00F11E53">
            <w:pPr>
              <w:jc w:val="center"/>
              <w:rPr>
                <w:rFonts w:ascii="宋体" w:hAnsi="宋体" w:hint="eastAsia"/>
                <w:color w:val="000000"/>
                <w:szCs w:val="21"/>
              </w:rPr>
            </w:pPr>
            <w:r>
              <w:rPr>
                <w:rFonts w:ascii="宋体" w:hAnsi="宋体" w:hint="eastAsia"/>
                <w:color w:val="000000"/>
                <w:szCs w:val="21"/>
              </w:rPr>
              <w:t>2016.11.29</w:t>
            </w:r>
          </w:p>
        </w:tc>
      </w:tr>
      <w:tr w:rsidR="005A4DB3" w14:paraId="7EC6763F" w14:textId="77777777">
        <w:trPr>
          <w:trHeight w:val="315"/>
          <w:jc w:val="center"/>
        </w:trPr>
        <w:tc>
          <w:tcPr>
            <w:tcW w:w="1977" w:type="pct"/>
            <w:gridSpan w:val="2"/>
            <w:noWrap/>
            <w:vAlign w:val="center"/>
          </w:tcPr>
          <w:p w14:paraId="5719FC4D" w14:textId="77777777" w:rsidR="005A4DB3" w:rsidRDefault="00F11E53">
            <w:pPr>
              <w:widowControl/>
              <w:jc w:val="center"/>
              <w:rPr>
                <w:rFonts w:ascii="宋体" w:hAnsi="宋体" w:hint="eastAsia"/>
                <w:b/>
                <w:color w:val="000000"/>
                <w:kern w:val="0"/>
                <w:szCs w:val="21"/>
              </w:rPr>
            </w:pPr>
            <w:r>
              <w:rPr>
                <w:rFonts w:ascii="宋体" w:hAnsi="宋体" w:hint="eastAsia"/>
                <w:b/>
                <w:color w:val="000000"/>
                <w:kern w:val="0"/>
                <w:szCs w:val="21"/>
              </w:rPr>
              <w:t xml:space="preserve">　合计</w:t>
            </w:r>
          </w:p>
        </w:tc>
        <w:tc>
          <w:tcPr>
            <w:tcW w:w="831" w:type="pct"/>
            <w:vAlign w:val="center"/>
          </w:tcPr>
          <w:p w14:paraId="1AF0EFF7" w14:textId="77777777" w:rsidR="005A4DB3" w:rsidRDefault="00F11E53">
            <w:pPr>
              <w:widowControl/>
              <w:jc w:val="right"/>
              <w:rPr>
                <w:rFonts w:ascii="宋体" w:hAnsi="宋体" w:hint="eastAsia"/>
                <w:b/>
                <w:kern w:val="0"/>
                <w:szCs w:val="21"/>
              </w:rPr>
            </w:pPr>
            <w:r>
              <w:rPr>
                <w:rFonts w:ascii="宋体" w:hAnsi="宋体" w:hint="eastAsia"/>
                <w:b/>
                <w:kern w:val="0"/>
                <w:szCs w:val="21"/>
              </w:rPr>
              <w:t>44910</w:t>
            </w:r>
            <w:r>
              <w:rPr>
                <w:rFonts w:ascii="宋体" w:hAnsi="宋体"/>
                <w:b/>
                <w:kern w:val="0"/>
                <w:szCs w:val="21"/>
              </w:rPr>
              <w:t>.0000</w:t>
            </w:r>
          </w:p>
        </w:tc>
        <w:tc>
          <w:tcPr>
            <w:tcW w:w="582" w:type="pct"/>
            <w:noWrap/>
            <w:vAlign w:val="center"/>
          </w:tcPr>
          <w:p w14:paraId="28328FFA" w14:textId="77777777" w:rsidR="005A4DB3" w:rsidRDefault="00F11E53">
            <w:pPr>
              <w:widowControl/>
              <w:jc w:val="right"/>
              <w:rPr>
                <w:rFonts w:ascii="宋体" w:hAnsi="宋体" w:hint="eastAsia"/>
                <w:b/>
                <w:color w:val="000000"/>
                <w:kern w:val="0"/>
                <w:szCs w:val="21"/>
              </w:rPr>
            </w:pPr>
            <w:r>
              <w:rPr>
                <w:rFonts w:ascii="宋体" w:hAnsi="宋体" w:hint="eastAsia"/>
                <w:b/>
                <w:color w:val="000000"/>
                <w:kern w:val="0"/>
                <w:szCs w:val="21"/>
              </w:rPr>
              <w:t>100.000</w:t>
            </w:r>
          </w:p>
        </w:tc>
        <w:tc>
          <w:tcPr>
            <w:tcW w:w="832" w:type="pct"/>
            <w:vAlign w:val="center"/>
          </w:tcPr>
          <w:p w14:paraId="36CA3AF8" w14:textId="77777777" w:rsidR="005A4DB3" w:rsidRDefault="00F11E53">
            <w:pPr>
              <w:widowControl/>
              <w:jc w:val="center"/>
              <w:rPr>
                <w:rFonts w:ascii="宋体" w:hAnsi="宋体" w:hint="eastAsia"/>
                <w:b/>
                <w:color w:val="000000"/>
                <w:kern w:val="0"/>
                <w:szCs w:val="21"/>
              </w:rPr>
            </w:pPr>
            <w:r>
              <w:rPr>
                <w:rFonts w:ascii="宋体" w:hAnsi="宋体" w:hint="eastAsia"/>
                <w:b/>
                <w:color w:val="000000"/>
                <w:kern w:val="0"/>
                <w:szCs w:val="21"/>
              </w:rPr>
              <w:t>—</w:t>
            </w:r>
          </w:p>
        </w:tc>
        <w:tc>
          <w:tcPr>
            <w:tcW w:w="778" w:type="pct"/>
          </w:tcPr>
          <w:p w14:paraId="07450B12" w14:textId="77777777" w:rsidR="005A4DB3" w:rsidRDefault="005A4DB3">
            <w:pPr>
              <w:widowControl/>
              <w:jc w:val="center"/>
              <w:rPr>
                <w:rFonts w:ascii="宋体" w:hAnsi="宋体" w:hint="eastAsia"/>
                <w:b/>
                <w:color w:val="000000"/>
                <w:kern w:val="0"/>
                <w:szCs w:val="21"/>
              </w:rPr>
            </w:pPr>
          </w:p>
        </w:tc>
      </w:tr>
    </w:tbl>
    <w:p w14:paraId="1EB33E62" w14:textId="3A8A487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w:t>
      </w:r>
      <w:r>
        <w:rPr>
          <w:rFonts w:ascii="宋体" w:hAnsi="宋体" w:cs="Arial" w:hint="eastAsia"/>
          <w:snapToGrid w:val="0"/>
          <w:kern w:val="0"/>
          <w:sz w:val="24"/>
        </w:rPr>
        <w:t>已发行的股份数为</w:t>
      </w:r>
      <w:r>
        <w:rPr>
          <w:rFonts w:ascii="宋体" w:hAnsi="宋体" w:cs="宋体"/>
          <w:color w:val="000000"/>
          <w:sz w:val="24"/>
          <w:szCs w:val="24"/>
        </w:rPr>
        <w:t>618,924,235</w:t>
      </w:r>
      <w:r>
        <w:rPr>
          <w:rFonts w:ascii="宋体" w:hAnsi="宋体" w:cs="Arial"/>
          <w:snapToGrid w:val="0"/>
          <w:kern w:val="0"/>
          <w:sz w:val="24"/>
        </w:rPr>
        <w:t>股，全部为人民币普通股股票。</w:t>
      </w:r>
      <w:r>
        <w:rPr>
          <w:rFonts w:ascii="宋体" w:hAnsi="宋体" w:cs="Arial" w:hint="eastAsia"/>
          <w:snapToGrid w:val="0"/>
          <w:kern w:val="0"/>
          <w:sz w:val="24"/>
        </w:rPr>
        <w:t xml:space="preserve"> </w:t>
      </w:r>
    </w:p>
    <w:p w14:paraId="5D6CF3DE" w14:textId="2CEE617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公司或</w:t>
      </w:r>
      <w:r>
        <w:rPr>
          <w:rFonts w:ascii="宋体" w:hAnsi="宋体" w:cs="Arial" w:hint="eastAsia"/>
          <w:snapToGrid w:val="0"/>
          <w:kern w:val="0"/>
          <w:sz w:val="24"/>
        </w:rPr>
        <w:t>者</w:t>
      </w:r>
      <w:r>
        <w:rPr>
          <w:rFonts w:ascii="宋体" w:hAnsi="宋体" w:cs="Arial"/>
          <w:snapToGrid w:val="0"/>
          <w:kern w:val="0"/>
          <w:sz w:val="24"/>
        </w:rPr>
        <w:t>公司的子公司（包括公司的附属企业）不以赠与、垫资、担保、</w:t>
      </w:r>
      <w:r>
        <w:rPr>
          <w:rFonts w:ascii="宋体" w:hAnsi="宋体" w:cs="Arial" w:hint="eastAsia"/>
          <w:snapToGrid w:val="0"/>
          <w:kern w:val="0"/>
          <w:sz w:val="24"/>
        </w:rPr>
        <w:t>借款</w:t>
      </w:r>
      <w:r>
        <w:rPr>
          <w:rFonts w:ascii="宋体" w:hAnsi="宋体" w:cs="Arial"/>
          <w:snapToGrid w:val="0"/>
          <w:kern w:val="0"/>
          <w:sz w:val="24"/>
        </w:rPr>
        <w:t>等形式，</w:t>
      </w:r>
      <w:r>
        <w:rPr>
          <w:rFonts w:ascii="宋体" w:hAnsi="宋体" w:cs="Arial" w:hint="eastAsia"/>
          <w:snapToGrid w:val="0"/>
          <w:kern w:val="0"/>
          <w:sz w:val="24"/>
        </w:rPr>
        <w:t>为他人取得本公司或者其母公司的股份提供财务资助，公司实施员工持股计划的除外</w:t>
      </w:r>
      <w:r>
        <w:rPr>
          <w:rFonts w:ascii="宋体" w:hAnsi="宋体" w:cs="Arial"/>
          <w:snapToGrid w:val="0"/>
          <w:kern w:val="0"/>
          <w:sz w:val="24"/>
        </w:rPr>
        <w:t>。</w:t>
      </w:r>
    </w:p>
    <w:p w14:paraId="37D46351" w14:textId="77777777" w:rsidR="005A4DB3" w:rsidRDefault="00F11E53" w:rsidP="00292011">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为公司利益，经股东会决议，或者董事会按照本章程或者股东会的授权</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决议，公司可以为他人取得本公司或者其母公司的股份提供财务资助，但财务资助的累计总额不得超过已发行股本总额的百分之十。董事会</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决议应当经全体</w:t>
      </w:r>
      <w:r>
        <w:rPr>
          <w:rFonts w:ascii="宋体" w:hAnsi="宋体" w:cs="Arial" w:hint="eastAsia"/>
          <w:snapToGrid w:val="0"/>
          <w:kern w:val="0"/>
          <w:sz w:val="24"/>
        </w:rPr>
        <w:lastRenderedPageBreak/>
        <w:t>董事的三分之二以上通过。</w:t>
      </w:r>
    </w:p>
    <w:p w14:paraId="69F2E1D5" w14:textId="77777777" w:rsidR="005A4DB3" w:rsidRDefault="00F11E53">
      <w:pPr>
        <w:pStyle w:val="2"/>
        <w:spacing w:beforeLines="50" w:before="156" w:afterLines="50" w:after="156" w:line="360" w:lineRule="auto"/>
        <w:rPr>
          <w:snapToGrid w:val="0"/>
          <w:kern w:val="0"/>
        </w:rPr>
      </w:pPr>
      <w:bookmarkStart w:id="13" w:name="_Toc414213709"/>
      <w:bookmarkStart w:id="14" w:name="_Toc495415939"/>
      <w:bookmarkStart w:id="15" w:name="_Toc212813217"/>
      <w:r>
        <w:rPr>
          <w:snapToGrid w:val="0"/>
          <w:kern w:val="0"/>
        </w:rPr>
        <w:t>第二节</w:t>
      </w:r>
      <w:r>
        <w:rPr>
          <w:snapToGrid w:val="0"/>
          <w:kern w:val="0"/>
        </w:rPr>
        <w:t xml:space="preserve"> </w:t>
      </w:r>
      <w:r>
        <w:rPr>
          <w:snapToGrid w:val="0"/>
          <w:kern w:val="0"/>
        </w:rPr>
        <w:t>股份增减和回购</w:t>
      </w:r>
      <w:bookmarkEnd w:id="13"/>
      <w:bookmarkEnd w:id="14"/>
      <w:bookmarkEnd w:id="15"/>
    </w:p>
    <w:p w14:paraId="25CE8631" w14:textId="6EC797BD"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公司根据经营和发展的需要，依照法律、法规的规定，经股东会分别</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决议，可以采用下列方式增加资本：</w:t>
      </w:r>
    </w:p>
    <w:p w14:paraId="7EFEC928" w14:textId="7A152BE9"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（一）向不特定对象发行股份；</w:t>
      </w:r>
    </w:p>
    <w:p w14:paraId="0F780F0D" w14:textId="19428C66"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（二）向特定对象发行股份；</w:t>
      </w:r>
    </w:p>
    <w:p w14:paraId="0BE62198"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（三）向现有股东派送红股；</w:t>
      </w:r>
    </w:p>
    <w:p w14:paraId="16A37CB8"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（四）以公积金转增股本；</w:t>
      </w:r>
    </w:p>
    <w:p w14:paraId="18F450AC" w14:textId="2910D72F"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（五）法律、行政法规规定以及中国证监会规定的其他方式。</w:t>
      </w:r>
    </w:p>
    <w:p w14:paraId="6FC7A84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公司可以减少注册资本。公司减少注册资本，应当按照《公司法》以及其他有关规定和本章程规定的程序办理。</w:t>
      </w:r>
    </w:p>
    <w:p w14:paraId="59909FA9" w14:textId="786F859F"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w:t>
      </w:r>
      <w:r>
        <w:rPr>
          <w:rFonts w:ascii="宋体" w:hAnsi="宋体" w:cs="Arial" w:hint="eastAsia"/>
          <w:snapToGrid w:val="0"/>
          <w:kern w:val="0"/>
          <w:sz w:val="24"/>
        </w:rPr>
        <w:t>不得</w:t>
      </w:r>
      <w:r>
        <w:rPr>
          <w:rFonts w:ascii="宋体" w:hAnsi="宋体" w:cs="Arial"/>
          <w:snapToGrid w:val="0"/>
          <w:kern w:val="0"/>
          <w:sz w:val="24"/>
        </w:rPr>
        <w:t>收购本公司股份</w:t>
      </w:r>
      <w:r>
        <w:rPr>
          <w:rFonts w:ascii="宋体" w:hAnsi="宋体" w:cs="Arial" w:hint="eastAsia"/>
          <w:snapToGrid w:val="0"/>
          <w:kern w:val="0"/>
          <w:sz w:val="24"/>
        </w:rPr>
        <w:t>。但是，有下列情形之一的除外</w:t>
      </w:r>
      <w:r>
        <w:rPr>
          <w:rFonts w:ascii="宋体" w:hAnsi="宋体" w:cs="Arial"/>
          <w:snapToGrid w:val="0"/>
          <w:kern w:val="0"/>
          <w:sz w:val="24"/>
        </w:rPr>
        <w:t>：</w:t>
      </w:r>
    </w:p>
    <w:p w14:paraId="1C4A02D1"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（一）减少公司注册资本；</w:t>
      </w:r>
    </w:p>
    <w:p w14:paraId="5E5ADF65"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（二）与持有本公司股份的其他公司合并；</w:t>
      </w:r>
    </w:p>
    <w:p w14:paraId="5F390CD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（三）将股份用于员工持股计划或者股权激励；</w:t>
      </w:r>
    </w:p>
    <w:p w14:paraId="2AAF7F0F" w14:textId="6966129B"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（四）股东因对股东会</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的公司合并、分立决议持异议，要求公司收购其股份；</w:t>
      </w:r>
    </w:p>
    <w:p w14:paraId="29AA3732"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（五）将股份用于转换上市公司发行的可转换为股票的公司债券；</w:t>
      </w:r>
    </w:p>
    <w:p w14:paraId="02143D5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（六）上市公司为维护公司价值及股东权益所必需。</w:t>
      </w:r>
    </w:p>
    <w:p w14:paraId="5D826469"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除上述情形外，公司不得收购本公司股份。</w:t>
      </w:r>
    </w:p>
    <w:p w14:paraId="6E52EB42"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公司收购本公司股份，可以通过公开的集中交易方式，或者法律法规和中国证监会认可的其他方式进行。</w:t>
      </w:r>
    </w:p>
    <w:p w14:paraId="7E182F05" w14:textId="0BE4A93E"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公司因本章程第二十四条第（三）项、第（五）项、第（六）项规定的情形收购本公司股份的，应当通过公开的集中交易方式进行。</w:t>
      </w:r>
    </w:p>
    <w:p w14:paraId="00D0D053" w14:textId="0E57385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宋体" w:hint="eastAsia"/>
          <w:color w:val="333333"/>
          <w:kern w:val="0"/>
          <w:szCs w:val="21"/>
        </w:rPr>
      </w:pPr>
      <w:r>
        <w:rPr>
          <w:rFonts w:ascii="宋体" w:hAnsi="宋体" w:cs="Arial" w:hint="eastAsia"/>
          <w:snapToGrid w:val="0"/>
          <w:kern w:val="0"/>
          <w:sz w:val="24"/>
        </w:rPr>
        <w:lastRenderedPageBreak/>
        <w:t xml:space="preserve"> </w:t>
      </w:r>
      <w:r>
        <w:rPr>
          <w:rFonts w:ascii="宋体" w:hAnsi="宋体" w:cs="Arial"/>
          <w:snapToGrid w:val="0"/>
          <w:kern w:val="0"/>
          <w:sz w:val="24"/>
        </w:rPr>
        <w:t>公司因本章程第二十</w:t>
      </w:r>
      <w:r>
        <w:rPr>
          <w:rFonts w:ascii="宋体" w:hAnsi="宋体" w:cs="Arial" w:hint="eastAsia"/>
          <w:snapToGrid w:val="0"/>
          <w:kern w:val="0"/>
          <w:sz w:val="24"/>
        </w:rPr>
        <w:t>四条第（一）项、第（二）项规定的情形收购本公司股份的，应当经股东会决议；公司因本章程第二十四条第（三）项、第（五）项、第（六）项规定的情形收购本公司股份的，可以依照本章程的规定或者股东会的授权，经三分之二以上董事出席的董事会会议决议。</w:t>
      </w:r>
    </w:p>
    <w:p w14:paraId="65D4BD38" w14:textId="4318F45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依照本章程第二十四条规定收购本公司股份后，属于第（一）项情形的，应当自收购之日起10日内注销；属于第（二）项、第（四）项情形的，应当在6个月内转让或者注销；属于第（三）项、第（五）项、第（六）项情形的，公司合计持有的本公司股份数不得超过本公司已发行股份总额的10%，并应当在3年内转让或者注销。</w:t>
      </w:r>
    </w:p>
    <w:p w14:paraId="2D6BE89C" w14:textId="77777777" w:rsidR="005A4DB3" w:rsidRDefault="00F11E53">
      <w:pPr>
        <w:pStyle w:val="2"/>
        <w:spacing w:beforeLines="50" w:before="156" w:afterLines="50" w:after="156" w:line="360" w:lineRule="auto"/>
        <w:rPr>
          <w:snapToGrid w:val="0"/>
          <w:kern w:val="0"/>
        </w:rPr>
      </w:pPr>
      <w:bookmarkStart w:id="16" w:name="_Toc414213710"/>
      <w:bookmarkStart w:id="17" w:name="_Toc495415940"/>
      <w:bookmarkStart w:id="18" w:name="_Toc212813218"/>
      <w:r>
        <w:rPr>
          <w:snapToGrid w:val="0"/>
          <w:kern w:val="0"/>
        </w:rPr>
        <w:t>第三节</w:t>
      </w:r>
      <w:r>
        <w:rPr>
          <w:snapToGrid w:val="0"/>
          <w:kern w:val="0"/>
        </w:rPr>
        <w:t xml:space="preserve"> </w:t>
      </w:r>
      <w:r>
        <w:rPr>
          <w:snapToGrid w:val="0"/>
          <w:kern w:val="0"/>
        </w:rPr>
        <w:t>股份转让</w:t>
      </w:r>
      <w:bookmarkEnd w:id="16"/>
      <w:bookmarkEnd w:id="17"/>
      <w:bookmarkEnd w:id="18"/>
    </w:p>
    <w:p w14:paraId="1FC770C1"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股东持有的股份</w:t>
      </w:r>
      <w:r>
        <w:rPr>
          <w:rFonts w:ascii="宋体" w:hAnsi="宋体" w:cs="Arial"/>
          <w:snapToGrid w:val="0"/>
          <w:kern w:val="0"/>
          <w:sz w:val="24"/>
        </w:rPr>
        <w:t>可以依法转让。</w:t>
      </w:r>
    </w:p>
    <w:p w14:paraId="413D6BEA" w14:textId="6E8ED92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color w:val="000000"/>
          <w:kern w:val="0"/>
          <w:sz w:val="24"/>
        </w:rPr>
      </w:pPr>
      <w:r>
        <w:rPr>
          <w:rFonts w:ascii="宋体" w:hAnsi="宋体" w:cs="Arial" w:hint="eastAsia"/>
          <w:snapToGrid w:val="0"/>
          <w:color w:val="000000"/>
          <w:kern w:val="0"/>
          <w:sz w:val="24"/>
        </w:rPr>
        <w:t xml:space="preserve"> 公司不接受本公司的股份作为质权的标的。</w:t>
      </w:r>
    </w:p>
    <w:p w14:paraId="6C61B4A4" w14:textId="4FD0EDF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color w:val="000000"/>
          <w:kern w:val="0"/>
          <w:sz w:val="24"/>
        </w:rPr>
      </w:pPr>
      <w:r>
        <w:rPr>
          <w:rFonts w:ascii="宋体" w:hAnsi="宋体" w:cs="Arial" w:hint="eastAsia"/>
          <w:snapToGrid w:val="0"/>
          <w:color w:val="000000"/>
          <w:kern w:val="0"/>
          <w:sz w:val="24"/>
        </w:rPr>
        <w:t xml:space="preserve"> 公司公开发行股份前已发行的股份，自公司股票在证券交易所上市交易之日起1年内不得转让。</w:t>
      </w:r>
    </w:p>
    <w:p w14:paraId="7B5BE01A" w14:textId="1D46604C" w:rsidR="005A4DB3" w:rsidRDefault="00F11E53">
      <w:pPr>
        <w:adjustRightInd w:val="0"/>
        <w:snapToGrid w:val="0"/>
        <w:spacing w:beforeLines="50" w:before="156" w:afterLines="50" w:after="156" w:line="360" w:lineRule="auto"/>
        <w:ind w:firstLineChars="177" w:firstLine="425"/>
        <w:rPr>
          <w:rFonts w:ascii="宋体" w:hAnsi="宋体" w:cs="Arial" w:hint="eastAsia"/>
          <w:snapToGrid w:val="0"/>
          <w:color w:val="000000"/>
          <w:kern w:val="0"/>
          <w:sz w:val="24"/>
        </w:rPr>
      </w:pPr>
      <w:r>
        <w:rPr>
          <w:rFonts w:ascii="宋体" w:hAnsi="宋体" w:cs="Arial"/>
          <w:snapToGrid w:val="0"/>
          <w:color w:val="000000"/>
          <w:kern w:val="0"/>
          <w:sz w:val="24"/>
        </w:rPr>
        <w:t>公司董事、高级管理人员应当向公司申报所持有的本公司的股份</w:t>
      </w:r>
      <w:r>
        <w:rPr>
          <w:rFonts w:ascii="宋体" w:hAnsi="宋体" w:cs="Arial" w:hint="eastAsia"/>
          <w:snapToGrid w:val="0"/>
          <w:color w:val="000000"/>
          <w:kern w:val="0"/>
          <w:sz w:val="24"/>
        </w:rPr>
        <w:t>（含</w:t>
      </w:r>
      <w:r>
        <w:rPr>
          <w:rFonts w:ascii="宋体" w:hAnsi="宋体" w:cs="Arial"/>
          <w:snapToGrid w:val="0"/>
          <w:color w:val="000000"/>
          <w:kern w:val="0"/>
          <w:sz w:val="24"/>
        </w:rPr>
        <w:t>优先股股份</w:t>
      </w:r>
      <w:r>
        <w:rPr>
          <w:rFonts w:ascii="宋体" w:hAnsi="宋体" w:cs="Arial" w:hint="eastAsia"/>
          <w:snapToGrid w:val="0"/>
          <w:color w:val="000000"/>
          <w:kern w:val="0"/>
          <w:sz w:val="24"/>
        </w:rPr>
        <w:t>）</w:t>
      </w:r>
      <w:r>
        <w:rPr>
          <w:rFonts w:ascii="宋体" w:hAnsi="宋体" w:cs="Arial"/>
          <w:snapToGrid w:val="0"/>
          <w:color w:val="000000"/>
          <w:kern w:val="0"/>
          <w:sz w:val="24"/>
        </w:rPr>
        <w:t>及其变动情况，在</w:t>
      </w:r>
      <w:r>
        <w:rPr>
          <w:rFonts w:ascii="宋体" w:hAnsi="宋体" w:cs="Arial" w:hint="eastAsia"/>
          <w:snapToGrid w:val="0"/>
          <w:color w:val="000000"/>
          <w:kern w:val="0"/>
          <w:sz w:val="24"/>
        </w:rPr>
        <w:t>就任时确定的</w:t>
      </w:r>
      <w:r>
        <w:rPr>
          <w:rFonts w:ascii="宋体" w:hAnsi="宋体" w:cs="Arial"/>
          <w:snapToGrid w:val="0"/>
          <w:color w:val="000000"/>
          <w:kern w:val="0"/>
          <w:sz w:val="24"/>
        </w:rPr>
        <w:t>任职期间（股份可转让的情况下）每年转让的股份不得超过其所持有本公司股份总数的</w:t>
      </w:r>
      <w:r>
        <w:rPr>
          <w:rFonts w:ascii="宋体" w:hAnsi="宋体" w:cs="Arial" w:hint="eastAsia"/>
          <w:snapToGrid w:val="0"/>
          <w:color w:val="000000"/>
          <w:kern w:val="0"/>
          <w:sz w:val="24"/>
        </w:rPr>
        <w:t>25%</w:t>
      </w:r>
      <w:r>
        <w:rPr>
          <w:rFonts w:ascii="宋体" w:hAnsi="宋体" w:cs="Arial"/>
          <w:snapToGrid w:val="0"/>
          <w:color w:val="000000"/>
          <w:kern w:val="0"/>
          <w:sz w:val="24"/>
        </w:rPr>
        <w:t>；</w:t>
      </w:r>
      <w:r>
        <w:rPr>
          <w:rFonts w:ascii="宋体" w:hAnsi="宋体" w:cs="Arial" w:hint="eastAsia"/>
          <w:snapToGrid w:val="0"/>
          <w:color w:val="000000"/>
          <w:kern w:val="0"/>
          <w:sz w:val="24"/>
        </w:rPr>
        <w:t>所持本公司</w:t>
      </w:r>
      <w:r>
        <w:rPr>
          <w:rFonts w:ascii="宋体" w:hAnsi="宋体" w:cs="Arial"/>
          <w:snapToGrid w:val="0"/>
          <w:color w:val="000000"/>
          <w:kern w:val="0"/>
          <w:sz w:val="24"/>
        </w:rPr>
        <w:t>股份自</w:t>
      </w:r>
      <w:r>
        <w:rPr>
          <w:rFonts w:ascii="宋体" w:hAnsi="宋体" w:cs="Arial" w:hint="eastAsia"/>
          <w:snapToGrid w:val="0"/>
          <w:color w:val="000000"/>
          <w:kern w:val="0"/>
          <w:sz w:val="24"/>
        </w:rPr>
        <w:t>公司</w:t>
      </w:r>
      <w:r>
        <w:rPr>
          <w:rFonts w:ascii="宋体" w:hAnsi="宋体" w:cs="Arial"/>
          <w:snapToGrid w:val="0"/>
          <w:color w:val="000000"/>
          <w:kern w:val="0"/>
          <w:sz w:val="24"/>
        </w:rPr>
        <w:t>股票上市交易之日</w:t>
      </w:r>
      <w:r>
        <w:rPr>
          <w:rFonts w:ascii="宋体" w:hAnsi="宋体" w:cs="Arial" w:hint="eastAsia"/>
          <w:snapToGrid w:val="0"/>
          <w:color w:val="000000"/>
          <w:kern w:val="0"/>
          <w:sz w:val="24"/>
        </w:rPr>
        <w:t>1年</w:t>
      </w:r>
      <w:r>
        <w:rPr>
          <w:rFonts w:ascii="宋体" w:hAnsi="宋体" w:cs="Arial"/>
          <w:snapToGrid w:val="0"/>
          <w:color w:val="000000"/>
          <w:kern w:val="0"/>
          <w:sz w:val="24"/>
        </w:rPr>
        <w:t>内不得转让</w:t>
      </w:r>
      <w:r>
        <w:rPr>
          <w:rFonts w:ascii="宋体" w:hAnsi="宋体" w:cs="Arial" w:hint="eastAsia"/>
          <w:snapToGrid w:val="0"/>
          <w:color w:val="000000"/>
          <w:kern w:val="0"/>
          <w:sz w:val="24"/>
        </w:rPr>
        <w:t>；</w:t>
      </w:r>
      <w:r>
        <w:rPr>
          <w:rFonts w:ascii="宋体" w:hAnsi="宋体" w:cs="Arial"/>
          <w:snapToGrid w:val="0"/>
          <w:color w:val="000000"/>
          <w:kern w:val="0"/>
          <w:sz w:val="24"/>
        </w:rPr>
        <w:t>上述人员离职后半年内，不得转让其所持有的本公司股份。</w:t>
      </w:r>
    </w:p>
    <w:p w14:paraId="0EB12E46" w14:textId="0D13372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持有百分之五以上股份的股东、董事、高级管理人员，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p>
    <w:p w14:paraId="3E48EB67" w14:textId="65EA59AE" w:rsidR="005A4DB3" w:rsidRDefault="00F11E53" w:rsidP="00B8131C">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sidRPr="00292011">
        <w:rPr>
          <w:rFonts w:ascii="宋体" w:hAnsi="宋体" w:cs="Arial" w:hint="eastAsia"/>
          <w:snapToGrid w:val="0"/>
          <w:kern w:val="0"/>
          <w:sz w:val="24"/>
        </w:rPr>
        <w:t>前款所称董事、高级管理人员、自然人股东持有的股票或者其他具有股权性质的证券，包括其配偶、父母、子女持有的及利用他人账户持有的股票或者其他具有股权性质的证券。</w:t>
      </w:r>
    </w:p>
    <w:p w14:paraId="0E7B9C32"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公司董事会不按照前款规定执行的，股东有权要求董事会在30日内执行。</w:t>
      </w:r>
      <w:r>
        <w:rPr>
          <w:rFonts w:ascii="宋体" w:hAnsi="宋体" w:cs="Arial" w:hint="eastAsia"/>
          <w:snapToGrid w:val="0"/>
          <w:kern w:val="0"/>
          <w:sz w:val="24"/>
        </w:rPr>
        <w:lastRenderedPageBreak/>
        <w:t>公司董事会未在上述期限内执行的，股东有权为了公司的利益以自己的名义直接向人民法院提起诉讼。</w:t>
      </w:r>
    </w:p>
    <w:p w14:paraId="3723F279"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公司董事会不按照本条第一款规定执行的，负有责任的董事依法承担连带责任。</w:t>
      </w:r>
    </w:p>
    <w:p w14:paraId="7919CA4B" w14:textId="3537D672" w:rsidR="005A4DB3" w:rsidRDefault="00F11E53">
      <w:pPr>
        <w:pStyle w:val="1"/>
        <w:spacing w:beforeLines="50" w:before="156" w:afterLines="50" w:after="156" w:line="360" w:lineRule="auto"/>
      </w:pPr>
      <w:bookmarkStart w:id="19" w:name="_Toc414213711"/>
      <w:bookmarkStart w:id="20" w:name="_Toc495415941"/>
      <w:bookmarkStart w:id="21" w:name="_Toc212813219"/>
      <w:r>
        <w:t>第</w:t>
      </w:r>
      <w:r>
        <w:rPr>
          <w:rFonts w:hint="eastAsia"/>
        </w:rPr>
        <w:t>四</w:t>
      </w:r>
      <w:r>
        <w:t>章</w:t>
      </w:r>
      <w:r>
        <w:t xml:space="preserve"> </w:t>
      </w:r>
      <w:r>
        <w:t>股东和</w:t>
      </w:r>
      <w:bookmarkEnd w:id="19"/>
      <w:bookmarkEnd w:id="20"/>
      <w:r>
        <w:t>股东会</w:t>
      </w:r>
      <w:bookmarkEnd w:id="21"/>
    </w:p>
    <w:p w14:paraId="6D72A43E" w14:textId="77777777" w:rsidR="005A4DB3" w:rsidRDefault="00F11E53">
      <w:pPr>
        <w:pStyle w:val="2"/>
        <w:spacing w:beforeLines="50" w:before="156" w:afterLines="50" w:after="156" w:line="360" w:lineRule="auto"/>
        <w:rPr>
          <w:snapToGrid w:val="0"/>
          <w:kern w:val="0"/>
        </w:rPr>
      </w:pPr>
      <w:bookmarkStart w:id="22" w:name="_Toc495415942"/>
      <w:bookmarkStart w:id="23" w:name="_Toc414213712"/>
      <w:bookmarkStart w:id="24" w:name="_Toc212813220"/>
      <w:r>
        <w:rPr>
          <w:snapToGrid w:val="0"/>
          <w:kern w:val="0"/>
        </w:rPr>
        <w:t>第一节</w:t>
      </w:r>
      <w:r>
        <w:rPr>
          <w:snapToGrid w:val="0"/>
          <w:kern w:val="0"/>
        </w:rPr>
        <w:t xml:space="preserve"> </w:t>
      </w:r>
      <w:r>
        <w:rPr>
          <w:snapToGrid w:val="0"/>
          <w:kern w:val="0"/>
        </w:rPr>
        <w:t>股东</w:t>
      </w:r>
      <w:bookmarkEnd w:id="22"/>
      <w:bookmarkEnd w:id="23"/>
      <w:r>
        <w:rPr>
          <w:rFonts w:hint="eastAsia"/>
          <w:snapToGrid w:val="0"/>
          <w:kern w:val="0"/>
        </w:rPr>
        <w:t>的一般规定</w:t>
      </w:r>
      <w:bookmarkEnd w:id="24"/>
    </w:p>
    <w:p w14:paraId="6213C83F" w14:textId="77777777" w:rsidR="005A4DB3" w:rsidRDefault="005A4DB3">
      <w:pPr>
        <w:adjustRightInd w:val="0"/>
        <w:snapToGrid w:val="0"/>
        <w:spacing w:beforeLines="50" w:before="156" w:afterLines="50" w:after="156" w:line="360" w:lineRule="auto"/>
        <w:rPr>
          <w:rFonts w:ascii="宋体" w:hAnsi="宋体" w:cs="Arial" w:hint="eastAsia"/>
          <w:snapToGrid w:val="0"/>
          <w:kern w:val="0"/>
          <w:sz w:val="24"/>
        </w:rPr>
      </w:pPr>
    </w:p>
    <w:p w14:paraId="2BF5FE1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公司依据证券登记结算机构提供的凭证建立股东名册，股东名册是证明股东持有公司股份的充分证据。股东按其所持有股份的种类享有权利，承担义务；持有同一种类股份的股东，享有同等权利，承担同种义务。</w:t>
      </w:r>
    </w:p>
    <w:p w14:paraId="17228796" w14:textId="0219B721"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公司召开股东会、分配股利、清算及从事其他需要确认股东身份的行为时，由董事会或股东会召集人确定股权登记日，股权登记日收市后登记在册的股东为享有相关权益的股东。</w:t>
      </w:r>
    </w:p>
    <w:p w14:paraId="22B8524C"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公司股东享有下列权利：</w:t>
      </w:r>
    </w:p>
    <w:p w14:paraId="1439E80E"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（一）依照其所持有的股份</w:t>
      </w:r>
      <w:r>
        <w:rPr>
          <w:rFonts w:ascii="宋体" w:hAnsi="宋体" w:cs="Arial" w:hint="eastAsia"/>
          <w:snapToGrid w:val="0"/>
          <w:kern w:val="0"/>
          <w:sz w:val="24"/>
        </w:rPr>
        <w:t>份额获得股利和其他形式的利益分配</w:t>
      </w:r>
      <w:r>
        <w:rPr>
          <w:rFonts w:ascii="宋体" w:hAnsi="宋体" w:cs="Arial"/>
          <w:snapToGrid w:val="0"/>
          <w:kern w:val="0"/>
          <w:sz w:val="24"/>
        </w:rPr>
        <w:t>；</w:t>
      </w:r>
    </w:p>
    <w:p w14:paraId="0C882EA4" w14:textId="2F931B72"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（二）</w:t>
      </w:r>
      <w:r>
        <w:rPr>
          <w:rFonts w:ascii="宋体" w:hAnsi="宋体" w:cs="Arial" w:hint="eastAsia"/>
          <w:snapToGrid w:val="0"/>
          <w:kern w:val="0"/>
          <w:sz w:val="24"/>
        </w:rPr>
        <w:t>依法请求、召集、主持、</w:t>
      </w:r>
      <w:r>
        <w:rPr>
          <w:rFonts w:ascii="宋体" w:hAnsi="宋体" w:cs="Arial"/>
          <w:snapToGrid w:val="0"/>
          <w:kern w:val="0"/>
          <w:sz w:val="24"/>
        </w:rPr>
        <w:t>参加或者委派股东代理人参加股东会，并行使相应的表决权；</w:t>
      </w:r>
    </w:p>
    <w:p w14:paraId="5F71FCFA"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（三）对公司的经营</w:t>
      </w:r>
      <w:r>
        <w:rPr>
          <w:rFonts w:ascii="宋体" w:hAnsi="宋体" w:cs="Arial" w:hint="eastAsia"/>
          <w:snapToGrid w:val="0"/>
          <w:kern w:val="0"/>
          <w:sz w:val="24"/>
        </w:rPr>
        <w:t>进行监督，</w:t>
      </w:r>
      <w:r>
        <w:rPr>
          <w:rFonts w:ascii="宋体" w:hAnsi="宋体" w:cs="Arial"/>
          <w:snapToGrid w:val="0"/>
          <w:kern w:val="0"/>
          <w:sz w:val="24"/>
        </w:rPr>
        <w:t>提出建议或者质询；</w:t>
      </w:r>
    </w:p>
    <w:p w14:paraId="3302F3E3"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（四）依照法律、行政法规及本章程的规定转让、赠与或质押其所持有的股份；</w:t>
      </w:r>
    </w:p>
    <w:p w14:paraId="135328FA" w14:textId="45D11CD8"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（五）查阅</w:t>
      </w:r>
      <w:r>
        <w:rPr>
          <w:rFonts w:ascii="宋体" w:hAnsi="宋体" w:cs="Arial" w:hint="eastAsia"/>
          <w:snapToGrid w:val="0"/>
          <w:kern w:val="0"/>
          <w:sz w:val="24"/>
        </w:rPr>
        <w:t>、复制公司</w:t>
      </w:r>
      <w:r>
        <w:rPr>
          <w:rFonts w:ascii="宋体" w:hAnsi="宋体" w:cs="Arial"/>
          <w:snapToGrid w:val="0"/>
          <w:kern w:val="0"/>
          <w:sz w:val="24"/>
        </w:rPr>
        <w:t>章程、股东名册、股东会会议记录、董事会会议决议、财务会计报告</w:t>
      </w:r>
      <w:r>
        <w:rPr>
          <w:rFonts w:ascii="宋体" w:hAnsi="宋体" w:cs="Arial" w:hint="eastAsia"/>
          <w:snapToGrid w:val="0"/>
          <w:kern w:val="0"/>
          <w:sz w:val="24"/>
        </w:rPr>
        <w:t>，</w:t>
      </w:r>
      <w:r w:rsidR="0020309D">
        <w:rPr>
          <w:rFonts w:ascii="宋体" w:hAnsi="宋体" w:cs="Arial" w:hint="eastAsia"/>
          <w:snapToGrid w:val="0"/>
          <w:kern w:val="0"/>
          <w:sz w:val="24"/>
        </w:rPr>
        <w:t>连续180日以上单独或者合计持有公司3%以上的股份的股东可以</w:t>
      </w:r>
      <w:r>
        <w:rPr>
          <w:rFonts w:ascii="宋体" w:hAnsi="宋体" w:cs="Arial" w:hint="eastAsia"/>
          <w:snapToGrid w:val="0"/>
          <w:kern w:val="0"/>
          <w:sz w:val="24"/>
        </w:rPr>
        <w:t>查阅公司的会计账簿、会计凭证</w:t>
      </w:r>
      <w:r>
        <w:rPr>
          <w:rFonts w:ascii="宋体" w:hAnsi="宋体" w:cs="Arial"/>
          <w:snapToGrid w:val="0"/>
          <w:kern w:val="0"/>
          <w:sz w:val="24"/>
        </w:rPr>
        <w:t>；</w:t>
      </w:r>
    </w:p>
    <w:p w14:paraId="7857CCAB"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（六）公司终止或者清算时</w:t>
      </w:r>
      <w:r>
        <w:rPr>
          <w:rFonts w:ascii="宋体" w:hAnsi="宋体" w:cs="Arial" w:hint="eastAsia"/>
          <w:snapToGrid w:val="0"/>
          <w:kern w:val="0"/>
          <w:sz w:val="24"/>
        </w:rPr>
        <w:t>，</w:t>
      </w:r>
      <w:r>
        <w:rPr>
          <w:rFonts w:ascii="宋体" w:hAnsi="宋体" w:cs="Arial"/>
          <w:snapToGrid w:val="0"/>
          <w:kern w:val="0"/>
          <w:sz w:val="24"/>
        </w:rPr>
        <w:t>按其所持有的股份份额参加公司剩余财产的分配；</w:t>
      </w:r>
    </w:p>
    <w:p w14:paraId="5B53B1C2" w14:textId="3E0B12B1" w:rsidR="005A4DB3" w:rsidRDefault="00F11E53">
      <w:pPr>
        <w:adjustRightInd w:val="0"/>
        <w:snapToGrid w:val="0"/>
        <w:spacing w:beforeLines="50" w:before="156" w:afterLines="50" w:after="156" w:line="360" w:lineRule="auto"/>
        <w:ind w:firstLine="480"/>
        <w:rPr>
          <w:rFonts w:ascii="宋体" w:hAnsi="宋体" w:cs="宋体" w:hint="eastAsia"/>
          <w:kern w:val="0"/>
          <w:sz w:val="24"/>
        </w:rPr>
      </w:pPr>
      <w:r>
        <w:rPr>
          <w:rFonts w:ascii="宋体" w:hAnsi="宋体" w:cs="Arial"/>
          <w:snapToGrid w:val="0"/>
          <w:kern w:val="0"/>
          <w:sz w:val="24"/>
        </w:rPr>
        <w:lastRenderedPageBreak/>
        <w:t>（七）对股东会</w:t>
      </w:r>
      <w:proofErr w:type="gramStart"/>
      <w:r>
        <w:rPr>
          <w:rFonts w:ascii="宋体" w:hAnsi="宋体" w:cs="Arial"/>
          <w:snapToGrid w:val="0"/>
          <w:kern w:val="0"/>
          <w:sz w:val="24"/>
        </w:rPr>
        <w:t>作出</w:t>
      </w:r>
      <w:proofErr w:type="gramEnd"/>
      <w:r>
        <w:rPr>
          <w:rFonts w:ascii="宋体" w:hAnsi="宋体" w:cs="Arial"/>
          <w:snapToGrid w:val="0"/>
          <w:kern w:val="0"/>
          <w:sz w:val="24"/>
        </w:rPr>
        <w:t>的公司合并、分立决议持异议的股东</w:t>
      </w:r>
      <w:r>
        <w:rPr>
          <w:rFonts w:ascii="宋体" w:hAnsi="宋体" w:cs="Arial" w:hint="eastAsia"/>
          <w:snapToGrid w:val="0"/>
          <w:kern w:val="0"/>
          <w:sz w:val="24"/>
        </w:rPr>
        <w:t>，</w:t>
      </w:r>
      <w:r>
        <w:rPr>
          <w:rFonts w:ascii="宋体" w:hAnsi="宋体" w:cs="Arial"/>
          <w:snapToGrid w:val="0"/>
          <w:kern w:val="0"/>
          <w:sz w:val="24"/>
        </w:rPr>
        <w:t>要求公司收购其股份；</w:t>
      </w:r>
    </w:p>
    <w:p w14:paraId="34D74036"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（八）</w:t>
      </w:r>
      <w:r>
        <w:rPr>
          <w:rFonts w:ascii="宋体" w:hAnsi="宋体" w:cs="Arial"/>
          <w:snapToGrid w:val="0"/>
          <w:kern w:val="0"/>
          <w:sz w:val="24"/>
        </w:rPr>
        <w:t>法律、行政法规、部门规章或本章程规定的其他权利。</w:t>
      </w:r>
    </w:p>
    <w:p w14:paraId="40C71E33" w14:textId="523262C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w:t>
      </w:r>
      <w:r>
        <w:rPr>
          <w:rFonts w:ascii="宋体" w:hAnsi="宋体" w:cs="Arial" w:hint="eastAsia"/>
          <w:snapToGrid w:val="0"/>
          <w:kern w:val="0"/>
          <w:sz w:val="24"/>
        </w:rPr>
        <w:t>要求查阅、复制公司有关材料的，应当遵守《公司法》《证券法》等法律、行政法规的规定</w:t>
      </w:r>
      <w:r w:rsidR="00B1274F">
        <w:rPr>
          <w:rFonts w:ascii="宋体" w:hAnsi="宋体" w:cs="Arial" w:hint="eastAsia"/>
          <w:snapToGrid w:val="0"/>
          <w:kern w:val="0"/>
          <w:sz w:val="24"/>
        </w:rPr>
        <w:t>，并向公司提供证明其持有公司股份的种类以及持股数量的书面文件，公司经核实股东身份后按照股东的要求予以提供。</w:t>
      </w:r>
    </w:p>
    <w:p w14:paraId="31DE686A" w14:textId="22DEB25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公司股东会、董事会决议内容违反法律、行政法规的</w:t>
      </w:r>
      <w:r>
        <w:rPr>
          <w:rFonts w:ascii="宋体" w:hAnsi="宋体" w:cs="Arial" w:hint="eastAsia"/>
          <w:snapToGrid w:val="0"/>
          <w:kern w:val="0"/>
          <w:sz w:val="24"/>
        </w:rPr>
        <w:t>，</w:t>
      </w:r>
      <w:r>
        <w:rPr>
          <w:rFonts w:ascii="宋体" w:hAnsi="宋体" w:cs="Arial"/>
          <w:snapToGrid w:val="0"/>
          <w:kern w:val="0"/>
          <w:sz w:val="24"/>
        </w:rPr>
        <w:t>股东有权请求人民法院认定无效。</w:t>
      </w:r>
    </w:p>
    <w:p w14:paraId="3C5874D6" w14:textId="546BD92B"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股东会、董事会的会议召集程序、表决方式违反法律、行政法规或者本章程，或者决议内容违反本章程的，股东有权自决议</w:t>
      </w:r>
      <w:proofErr w:type="gramStart"/>
      <w:r>
        <w:rPr>
          <w:rFonts w:ascii="宋体" w:hAnsi="宋体" w:cs="Arial"/>
          <w:snapToGrid w:val="0"/>
          <w:kern w:val="0"/>
          <w:sz w:val="24"/>
        </w:rPr>
        <w:t>作出</w:t>
      </w:r>
      <w:proofErr w:type="gramEnd"/>
      <w:r>
        <w:rPr>
          <w:rFonts w:ascii="宋体" w:hAnsi="宋体" w:cs="Arial"/>
          <w:snapToGrid w:val="0"/>
          <w:kern w:val="0"/>
          <w:sz w:val="24"/>
        </w:rPr>
        <w:t>之日起</w:t>
      </w:r>
      <w:r>
        <w:rPr>
          <w:rFonts w:ascii="宋体" w:hAnsi="宋体" w:cs="Arial" w:hint="eastAsia"/>
          <w:snapToGrid w:val="0"/>
          <w:kern w:val="0"/>
          <w:sz w:val="24"/>
        </w:rPr>
        <w:t>60</w:t>
      </w:r>
      <w:r>
        <w:rPr>
          <w:rFonts w:ascii="宋体" w:hAnsi="宋体" w:cs="Arial"/>
          <w:snapToGrid w:val="0"/>
          <w:kern w:val="0"/>
          <w:sz w:val="24"/>
        </w:rPr>
        <w:t>日内，请求人民法院撤销。</w:t>
      </w:r>
      <w:r>
        <w:rPr>
          <w:rFonts w:ascii="宋体" w:hAnsi="宋体" w:cs="Arial" w:hint="eastAsia"/>
          <w:snapToGrid w:val="0"/>
          <w:kern w:val="0"/>
          <w:sz w:val="24"/>
        </w:rPr>
        <w:t>但是，股东会、董事会会议的召集程序或者表决方式仅有轻微瑕疵，对决议未产生实质影响的除外。</w:t>
      </w:r>
    </w:p>
    <w:p w14:paraId="288716C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董事会、股东等相关方对股东会决议的效力存在争议的，应当及时向人民法院提起诉讼。在人民法院</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撤销决议等判决或者裁定前，相关方应当执行股东会决议。公司、董事和高级管理人员应当切实履行职责，确保公司正常运作。</w:t>
      </w:r>
    </w:p>
    <w:p w14:paraId="61818C62"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人民法院对相关事项</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41F37F5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有下列情形之一的，公司股东会、董事会的决议不成立：</w:t>
      </w:r>
    </w:p>
    <w:p w14:paraId="356A04FA"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（一）未召开股东会、董事会会议</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w:t>
      </w:r>
    </w:p>
    <w:p w14:paraId="3F4DBDC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（二）股东会、董事会会议未对决议事项进行表决；</w:t>
      </w:r>
    </w:p>
    <w:p w14:paraId="2475E4F7"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（三）出席会议的人数或者所持表决权数未达到《公司法》或者本章程规定的人数或者所持表决权数；</w:t>
      </w:r>
    </w:p>
    <w:p w14:paraId="59DDAC9F"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（四）同意决议事项的人数或者所持表决权数未达到《公司法》或者本章程规定的人数或者所持表决权数。</w:t>
      </w:r>
    </w:p>
    <w:p w14:paraId="28344840" w14:textId="1BC3907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审计委员会成员以外的</w:t>
      </w:r>
      <w:r>
        <w:rPr>
          <w:rFonts w:ascii="宋体" w:hAnsi="宋体" w:cs="Arial"/>
          <w:snapToGrid w:val="0"/>
          <w:kern w:val="0"/>
          <w:sz w:val="24"/>
        </w:rPr>
        <w:t>董事、高级管理人员执行公司职务时违反法律、行政法规或者本章程的规定，给公司造成损失的，连续</w:t>
      </w:r>
      <w:r>
        <w:rPr>
          <w:rFonts w:ascii="宋体" w:hAnsi="宋体" w:cs="Arial" w:hint="eastAsia"/>
          <w:snapToGrid w:val="0"/>
          <w:kern w:val="0"/>
          <w:sz w:val="24"/>
        </w:rPr>
        <w:t>180日</w:t>
      </w:r>
      <w:r>
        <w:rPr>
          <w:rFonts w:ascii="宋体" w:hAnsi="宋体" w:cs="Arial"/>
          <w:snapToGrid w:val="0"/>
          <w:kern w:val="0"/>
          <w:sz w:val="24"/>
        </w:rPr>
        <w:t>以上单独或</w:t>
      </w:r>
      <w:r>
        <w:rPr>
          <w:rFonts w:ascii="宋体" w:hAnsi="宋体" w:cs="Arial" w:hint="eastAsia"/>
          <w:snapToGrid w:val="0"/>
          <w:kern w:val="0"/>
          <w:sz w:val="24"/>
        </w:rPr>
        <w:t>者合并</w:t>
      </w:r>
      <w:r>
        <w:rPr>
          <w:rFonts w:ascii="宋体" w:hAnsi="宋体" w:cs="Arial"/>
          <w:snapToGrid w:val="0"/>
          <w:kern w:val="0"/>
          <w:sz w:val="24"/>
        </w:rPr>
        <w:t>持有公司</w:t>
      </w:r>
      <w:r>
        <w:rPr>
          <w:rFonts w:ascii="宋体" w:hAnsi="宋体" w:cs="Arial" w:hint="eastAsia"/>
          <w:snapToGrid w:val="0"/>
          <w:kern w:val="0"/>
          <w:sz w:val="24"/>
        </w:rPr>
        <w:t>1%</w:t>
      </w:r>
      <w:r>
        <w:rPr>
          <w:rFonts w:ascii="宋体" w:hAnsi="宋体" w:cs="Arial"/>
          <w:snapToGrid w:val="0"/>
          <w:kern w:val="0"/>
          <w:sz w:val="24"/>
        </w:rPr>
        <w:t>以上股份的股东</w:t>
      </w:r>
      <w:r>
        <w:rPr>
          <w:rFonts w:ascii="宋体" w:hAnsi="宋体" w:cs="Arial" w:hint="eastAsia"/>
          <w:snapToGrid w:val="0"/>
          <w:kern w:val="0"/>
          <w:sz w:val="24"/>
        </w:rPr>
        <w:t>，有权</w:t>
      </w:r>
      <w:r>
        <w:rPr>
          <w:rFonts w:ascii="宋体" w:hAnsi="宋体" w:cs="Arial"/>
          <w:snapToGrid w:val="0"/>
          <w:kern w:val="0"/>
          <w:sz w:val="24"/>
        </w:rPr>
        <w:t>书面请求</w:t>
      </w:r>
      <w:r>
        <w:rPr>
          <w:rFonts w:ascii="宋体" w:hAnsi="宋体" w:cs="Arial" w:hint="eastAsia"/>
          <w:snapToGrid w:val="0"/>
          <w:kern w:val="0"/>
          <w:sz w:val="24"/>
        </w:rPr>
        <w:t>审计委员</w:t>
      </w:r>
      <w:r>
        <w:rPr>
          <w:rFonts w:ascii="宋体" w:hAnsi="宋体" w:cs="Arial"/>
          <w:snapToGrid w:val="0"/>
          <w:kern w:val="0"/>
          <w:sz w:val="24"/>
        </w:rPr>
        <w:t>会向人民法院提起诉讼</w:t>
      </w:r>
      <w:r>
        <w:rPr>
          <w:rFonts w:ascii="宋体" w:hAnsi="宋体" w:cs="Arial" w:hint="eastAsia"/>
          <w:snapToGrid w:val="0"/>
          <w:kern w:val="0"/>
          <w:sz w:val="24"/>
        </w:rPr>
        <w:t>。审计委员会</w:t>
      </w:r>
      <w:r>
        <w:rPr>
          <w:rFonts w:ascii="宋体" w:hAnsi="宋体" w:cs="Arial"/>
          <w:snapToGrid w:val="0"/>
          <w:kern w:val="0"/>
          <w:sz w:val="24"/>
        </w:rPr>
        <w:t>执行公司职务时违反法律、行政法规或者本章程的规定，给公司造成损失的，股东</w:t>
      </w:r>
      <w:r>
        <w:rPr>
          <w:rFonts w:ascii="宋体" w:hAnsi="宋体" w:cs="Arial" w:hint="eastAsia"/>
          <w:snapToGrid w:val="0"/>
          <w:kern w:val="0"/>
          <w:sz w:val="24"/>
        </w:rPr>
        <w:t>可以</w:t>
      </w:r>
      <w:r>
        <w:rPr>
          <w:rFonts w:ascii="宋体" w:hAnsi="宋体" w:cs="Arial"/>
          <w:snapToGrid w:val="0"/>
          <w:kern w:val="0"/>
          <w:sz w:val="24"/>
        </w:rPr>
        <w:t>书面请求董事会向人民法院提起诉讼。</w:t>
      </w:r>
    </w:p>
    <w:p w14:paraId="78C475B8" w14:textId="388946F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审计委员会或者</w:t>
      </w:r>
      <w:r>
        <w:rPr>
          <w:rFonts w:ascii="宋体" w:hAnsi="宋体" w:cs="Arial"/>
          <w:snapToGrid w:val="0"/>
          <w:kern w:val="0"/>
          <w:sz w:val="24"/>
        </w:rPr>
        <w:t>董事会收到前款规定的股东书面请求后拒绝提起诉讼，或者自收到请求之日起</w:t>
      </w:r>
      <w:r>
        <w:rPr>
          <w:rFonts w:ascii="宋体" w:hAnsi="宋体" w:cs="Arial" w:hint="eastAsia"/>
          <w:snapToGrid w:val="0"/>
          <w:kern w:val="0"/>
          <w:sz w:val="24"/>
        </w:rPr>
        <w:t>30</w:t>
      </w:r>
      <w:r>
        <w:rPr>
          <w:rFonts w:ascii="宋体" w:hAnsi="宋体" w:cs="Arial"/>
          <w:snapToGrid w:val="0"/>
          <w:kern w:val="0"/>
          <w:sz w:val="24"/>
        </w:rPr>
        <w:t>日内未提起诉讼，或者情况紧急、</w:t>
      </w:r>
      <w:proofErr w:type="gramStart"/>
      <w:r>
        <w:rPr>
          <w:rFonts w:ascii="宋体" w:hAnsi="宋体" w:cs="Arial"/>
          <w:snapToGrid w:val="0"/>
          <w:kern w:val="0"/>
          <w:sz w:val="24"/>
        </w:rPr>
        <w:t>不</w:t>
      </w:r>
      <w:proofErr w:type="gramEnd"/>
      <w:r>
        <w:rPr>
          <w:rFonts w:ascii="宋体" w:hAnsi="宋体" w:cs="Arial"/>
          <w:snapToGrid w:val="0"/>
          <w:kern w:val="0"/>
          <w:sz w:val="24"/>
        </w:rPr>
        <w:t>立即提起诉讼将会使公司利益受到难以弥补的损害的，前款规定的股东有权为了公司的利益以自己的名义直接向人民法院提起诉讼。</w:t>
      </w:r>
    </w:p>
    <w:p w14:paraId="23E51612"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他人侵犯公司合法权益，给公司造成损失的，本条第一款规定的股东可以依照前两款的规定向人民法院提起诉讼。</w:t>
      </w:r>
    </w:p>
    <w:p w14:paraId="268C7EB1"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全资子公司的董事、监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监事会、董事会向人民法院提起诉讼或者以自己的名义直接向人民法院提起诉讼。</w:t>
      </w:r>
    </w:p>
    <w:p w14:paraId="76E51115"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董事、高级管理人员违反法律、行政法规或者本章程的规定，损害股东利益的，股东可以向人民法院提起诉讼。</w:t>
      </w:r>
    </w:p>
    <w:p w14:paraId="4CCD4917"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公司股东承担下列义务：</w:t>
      </w:r>
    </w:p>
    <w:p w14:paraId="7A79D7EF" w14:textId="77777777" w:rsidR="005A4DB3" w:rsidRDefault="00F11E53">
      <w:pPr>
        <w:adjustRightInd w:val="0"/>
        <w:snapToGrid w:val="0"/>
        <w:spacing w:beforeLines="50" w:before="156" w:afterLines="50" w:after="156" w:line="360" w:lineRule="auto"/>
        <w:ind w:firstLine="200"/>
        <w:rPr>
          <w:rFonts w:ascii="宋体" w:hAnsi="宋体" w:cs="Arial" w:hint="eastAsia"/>
          <w:snapToGrid w:val="0"/>
          <w:kern w:val="0"/>
          <w:sz w:val="24"/>
        </w:rPr>
      </w:pPr>
      <w:r>
        <w:rPr>
          <w:rFonts w:ascii="宋体" w:hAnsi="宋体" w:cs="Arial"/>
          <w:snapToGrid w:val="0"/>
          <w:kern w:val="0"/>
          <w:sz w:val="24"/>
        </w:rPr>
        <w:t>（一）遵守法律、行政法规和本章程；</w:t>
      </w:r>
    </w:p>
    <w:p w14:paraId="2F5DF133" w14:textId="057484F8" w:rsidR="005A4DB3" w:rsidRDefault="00F11E53">
      <w:pPr>
        <w:adjustRightInd w:val="0"/>
        <w:snapToGrid w:val="0"/>
        <w:spacing w:beforeLines="50" w:before="156" w:afterLines="50" w:after="156" w:line="360" w:lineRule="auto"/>
        <w:ind w:firstLine="200"/>
        <w:rPr>
          <w:rFonts w:ascii="宋体" w:hAnsi="宋体" w:cs="Arial" w:hint="eastAsia"/>
          <w:snapToGrid w:val="0"/>
          <w:kern w:val="0"/>
          <w:sz w:val="24"/>
        </w:rPr>
      </w:pPr>
      <w:r>
        <w:rPr>
          <w:rFonts w:ascii="宋体" w:hAnsi="宋体" w:cs="Arial"/>
          <w:snapToGrid w:val="0"/>
          <w:kern w:val="0"/>
          <w:sz w:val="24"/>
        </w:rPr>
        <w:t>（二）依其所认购的股份和入股方式缴纳</w:t>
      </w:r>
      <w:r>
        <w:rPr>
          <w:rFonts w:ascii="宋体" w:hAnsi="宋体" w:cs="Arial" w:hint="eastAsia"/>
          <w:snapToGrid w:val="0"/>
          <w:kern w:val="0"/>
          <w:sz w:val="24"/>
        </w:rPr>
        <w:t>股款</w:t>
      </w:r>
      <w:r>
        <w:rPr>
          <w:rFonts w:ascii="宋体" w:hAnsi="宋体" w:cs="Arial"/>
          <w:snapToGrid w:val="0"/>
          <w:kern w:val="0"/>
          <w:sz w:val="24"/>
        </w:rPr>
        <w:t>；</w:t>
      </w:r>
    </w:p>
    <w:p w14:paraId="41FAF14B" w14:textId="621DCEA5" w:rsidR="005A4DB3" w:rsidRDefault="00F11E53">
      <w:pPr>
        <w:adjustRightInd w:val="0"/>
        <w:snapToGrid w:val="0"/>
        <w:spacing w:beforeLines="50" w:before="156" w:afterLines="50" w:after="156" w:line="360" w:lineRule="auto"/>
        <w:ind w:firstLine="200"/>
        <w:rPr>
          <w:rFonts w:ascii="宋体" w:hAnsi="宋体" w:cs="Arial" w:hint="eastAsia"/>
          <w:snapToGrid w:val="0"/>
          <w:kern w:val="0"/>
          <w:sz w:val="24"/>
        </w:rPr>
      </w:pPr>
      <w:r>
        <w:rPr>
          <w:rFonts w:ascii="宋体" w:hAnsi="宋体" w:cs="Arial"/>
          <w:snapToGrid w:val="0"/>
          <w:kern w:val="0"/>
          <w:sz w:val="24"/>
        </w:rPr>
        <w:t>（三）除法律、法规规定的情形外，不得</w:t>
      </w:r>
      <w:r>
        <w:rPr>
          <w:rFonts w:ascii="宋体" w:hAnsi="宋体" w:cs="Arial" w:hint="eastAsia"/>
          <w:snapToGrid w:val="0"/>
          <w:kern w:val="0"/>
          <w:sz w:val="24"/>
        </w:rPr>
        <w:t>抽回其股本</w:t>
      </w:r>
      <w:r>
        <w:rPr>
          <w:rFonts w:ascii="宋体" w:hAnsi="宋体" w:cs="Arial"/>
          <w:snapToGrid w:val="0"/>
          <w:kern w:val="0"/>
          <w:sz w:val="24"/>
        </w:rPr>
        <w:t>；</w:t>
      </w:r>
    </w:p>
    <w:p w14:paraId="530793D3" w14:textId="77777777" w:rsidR="005A4DB3" w:rsidRDefault="00F11E53">
      <w:pPr>
        <w:adjustRightInd w:val="0"/>
        <w:snapToGrid w:val="0"/>
        <w:spacing w:beforeLines="50" w:before="156" w:afterLines="50" w:after="156" w:line="360" w:lineRule="auto"/>
        <w:ind w:firstLine="200"/>
        <w:rPr>
          <w:rFonts w:ascii="宋体" w:hAnsi="宋体" w:cs="Arial" w:hint="eastAsia"/>
          <w:snapToGrid w:val="0"/>
          <w:kern w:val="0"/>
          <w:sz w:val="24"/>
        </w:rPr>
      </w:pPr>
      <w:r>
        <w:rPr>
          <w:rFonts w:ascii="宋体" w:hAnsi="宋体" w:cs="Arial"/>
          <w:snapToGrid w:val="0"/>
          <w:kern w:val="0"/>
          <w:sz w:val="24"/>
        </w:rPr>
        <w:t>（四）不得滥用股东权利损害公司或者其他股东的利益；不得滥用公司法人独立地位和股东有限责任损害公司债权人的利益；</w:t>
      </w:r>
    </w:p>
    <w:p w14:paraId="67F6A407" w14:textId="77777777" w:rsidR="005A4DB3" w:rsidRDefault="00F11E53">
      <w:pPr>
        <w:adjustRightInd w:val="0"/>
        <w:snapToGrid w:val="0"/>
        <w:spacing w:beforeLines="50" w:before="156" w:afterLines="50" w:after="156" w:line="360" w:lineRule="auto"/>
        <w:ind w:firstLine="200"/>
        <w:rPr>
          <w:rFonts w:ascii="宋体" w:hAnsi="宋体" w:cs="Arial" w:hint="eastAsia"/>
          <w:snapToGrid w:val="0"/>
          <w:kern w:val="0"/>
          <w:sz w:val="24"/>
        </w:rPr>
      </w:pPr>
      <w:r>
        <w:rPr>
          <w:rFonts w:ascii="宋体" w:hAnsi="宋体" w:cs="Arial"/>
          <w:snapToGrid w:val="0"/>
          <w:kern w:val="0"/>
          <w:sz w:val="24"/>
        </w:rPr>
        <w:t>（五）法律、行政法规及本章程规定应当承担的其他义务。</w:t>
      </w:r>
    </w:p>
    <w:p w14:paraId="7BFF8F95" w14:textId="1F322B8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公司股东滥用股东权利给公司或者其他股东造成损失的，应当依</w:t>
      </w:r>
      <w:r>
        <w:rPr>
          <w:rFonts w:ascii="宋体" w:hAnsi="宋体" w:cs="Arial" w:hint="eastAsia"/>
          <w:snapToGrid w:val="0"/>
          <w:kern w:val="0"/>
          <w:sz w:val="24"/>
        </w:rPr>
        <w:lastRenderedPageBreak/>
        <w:t>法承担赔偿责任。公司股东滥用公司法人独立地位和股东有限责任，逃避债务，严重损害公司债权人利益的，应当对公司债务承担连带责任</w:t>
      </w:r>
      <w:r>
        <w:rPr>
          <w:rFonts w:ascii="宋体" w:hAnsi="宋体" w:cs="Arial"/>
          <w:snapToGrid w:val="0"/>
          <w:kern w:val="0"/>
          <w:sz w:val="24"/>
        </w:rPr>
        <w:t>。</w:t>
      </w:r>
    </w:p>
    <w:p w14:paraId="16344EAD" w14:textId="77777777" w:rsidR="005A4DB3" w:rsidRDefault="00F11E53">
      <w:pPr>
        <w:pStyle w:val="2"/>
        <w:spacing w:beforeLines="50" w:before="156" w:afterLines="50" w:after="156" w:line="360" w:lineRule="auto"/>
        <w:rPr>
          <w:snapToGrid w:val="0"/>
          <w:kern w:val="0"/>
        </w:rPr>
      </w:pPr>
      <w:bookmarkStart w:id="25" w:name="_Toc212813221"/>
      <w:r>
        <w:rPr>
          <w:snapToGrid w:val="0"/>
          <w:kern w:val="0"/>
        </w:rPr>
        <w:t>第</w:t>
      </w:r>
      <w:r>
        <w:rPr>
          <w:rFonts w:hint="eastAsia"/>
          <w:snapToGrid w:val="0"/>
          <w:kern w:val="0"/>
        </w:rPr>
        <w:t>二</w:t>
      </w:r>
      <w:r>
        <w:rPr>
          <w:snapToGrid w:val="0"/>
          <w:kern w:val="0"/>
        </w:rPr>
        <w:t>节</w:t>
      </w:r>
      <w:r>
        <w:rPr>
          <w:snapToGrid w:val="0"/>
          <w:kern w:val="0"/>
        </w:rPr>
        <w:t xml:space="preserve"> </w:t>
      </w:r>
      <w:r>
        <w:rPr>
          <w:rFonts w:hint="eastAsia"/>
          <w:snapToGrid w:val="0"/>
          <w:kern w:val="0"/>
        </w:rPr>
        <w:t>控股股东和实际控制人</w:t>
      </w:r>
      <w:bookmarkEnd w:id="25"/>
    </w:p>
    <w:p w14:paraId="75ECB8C4" w14:textId="2AEFB05F" w:rsidR="005A4DB3" w:rsidRPr="00292011"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b/>
          <w:bCs/>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公司的控股股东、实际控制人</w:t>
      </w:r>
      <w:r>
        <w:rPr>
          <w:rFonts w:ascii="宋体" w:hAnsi="宋体" w:cs="Arial" w:hint="eastAsia"/>
          <w:snapToGrid w:val="0"/>
          <w:kern w:val="0"/>
          <w:sz w:val="24"/>
        </w:rPr>
        <w:t>应当依照法律、行政法规、中国证监会和证券交易所的规定行使权利、履行义务，维护上市公司利益。</w:t>
      </w:r>
    </w:p>
    <w:p w14:paraId="15792606" w14:textId="77777777" w:rsidR="005A4DB3" w:rsidRPr="00292011" w:rsidRDefault="00F11E53">
      <w:pPr>
        <w:numPr>
          <w:ilvl w:val="0"/>
          <w:numId w:val="1"/>
        </w:numPr>
        <w:adjustRightInd w:val="0"/>
        <w:snapToGrid w:val="0"/>
        <w:spacing w:beforeLines="50" w:before="156" w:afterLines="50" w:after="156" w:line="360" w:lineRule="auto"/>
        <w:ind w:left="0" w:firstLineChars="400" w:firstLine="964"/>
        <w:rPr>
          <w:rFonts w:ascii="宋体" w:hAnsi="宋体" w:cs="Arial" w:hint="eastAsia"/>
          <w:b/>
          <w:bCs/>
          <w:snapToGrid w:val="0"/>
          <w:kern w:val="0"/>
          <w:sz w:val="24"/>
        </w:rPr>
      </w:pPr>
      <w:r>
        <w:rPr>
          <w:rFonts w:ascii="宋体" w:hAnsi="宋体" w:cs="Arial" w:hint="eastAsia"/>
          <w:b/>
          <w:bCs/>
          <w:snapToGrid w:val="0"/>
          <w:kern w:val="0"/>
          <w:sz w:val="24"/>
        </w:rPr>
        <w:t xml:space="preserve"> </w:t>
      </w:r>
      <w:r>
        <w:rPr>
          <w:rFonts w:ascii="宋体" w:hAnsi="宋体" w:cs="Arial" w:hint="eastAsia"/>
          <w:snapToGrid w:val="0"/>
          <w:kern w:val="0"/>
          <w:sz w:val="24"/>
        </w:rPr>
        <w:t>公司控股股东、实际控制人应当遵守下列规定：</w:t>
      </w:r>
    </w:p>
    <w:p w14:paraId="63B48088"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b/>
          <w:bCs/>
          <w:snapToGrid w:val="0"/>
          <w:kern w:val="0"/>
          <w:sz w:val="24"/>
        </w:rPr>
        <w:t xml:space="preserve">　</w:t>
      </w:r>
      <w:r w:rsidRPr="00292011">
        <w:rPr>
          <w:rFonts w:ascii="宋体" w:hAnsi="宋体" w:cs="Arial" w:hint="eastAsia"/>
          <w:snapToGrid w:val="0"/>
          <w:kern w:val="0"/>
          <w:sz w:val="24"/>
        </w:rPr>
        <w:t xml:space="preserve">　（一）依法行使股东权利，不滥用控制权或者利用关联关系损害公司或者其他股东的合法权益；</w:t>
      </w:r>
    </w:p>
    <w:p w14:paraId="1EB3BEC5"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（二）严格履行所</w:t>
      </w:r>
      <w:proofErr w:type="gramStart"/>
      <w:r w:rsidRPr="00292011">
        <w:rPr>
          <w:rFonts w:ascii="宋体" w:hAnsi="宋体" w:cs="Arial" w:hint="eastAsia"/>
          <w:snapToGrid w:val="0"/>
          <w:kern w:val="0"/>
          <w:sz w:val="24"/>
        </w:rPr>
        <w:t>作出</w:t>
      </w:r>
      <w:proofErr w:type="gramEnd"/>
      <w:r w:rsidRPr="00292011">
        <w:rPr>
          <w:rFonts w:ascii="宋体" w:hAnsi="宋体" w:cs="Arial" w:hint="eastAsia"/>
          <w:snapToGrid w:val="0"/>
          <w:kern w:val="0"/>
          <w:sz w:val="24"/>
        </w:rPr>
        <w:t>的公开声明和各项承诺，不得擅自变更或者豁免；</w:t>
      </w:r>
    </w:p>
    <w:p w14:paraId="70AA4B7A"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（三）严格按照有关规定履行信息披露义务，积极主动配合公司做好信息披露工作，及时告知公司已发生或者</w:t>
      </w:r>
      <w:proofErr w:type="gramStart"/>
      <w:r w:rsidRPr="00292011">
        <w:rPr>
          <w:rFonts w:ascii="宋体" w:hAnsi="宋体" w:cs="Arial" w:hint="eastAsia"/>
          <w:snapToGrid w:val="0"/>
          <w:kern w:val="0"/>
          <w:sz w:val="24"/>
        </w:rPr>
        <w:t>拟发生</w:t>
      </w:r>
      <w:proofErr w:type="gramEnd"/>
      <w:r w:rsidRPr="00292011">
        <w:rPr>
          <w:rFonts w:ascii="宋体" w:hAnsi="宋体" w:cs="Arial" w:hint="eastAsia"/>
          <w:snapToGrid w:val="0"/>
          <w:kern w:val="0"/>
          <w:sz w:val="24"/>
        </w:rPr>
        <w:t>的重大事件；</w:t>
      </w:r>
    </w:p>
    <w:p w14:paraId="501E8533"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（四）不得以任何方式占用公司资金；</w:t>
      </w:r>
    </w:p>
    <w:p w14:paraId="3DE8D55C"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（五）不得强令、指使或者要求公司及相关人员违法违规提供担保；</w:t>
      </w:r>
    </w:p>
    <w:p w14:paraId="284E107A"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（六）不得利用公司未公开重大信息谋取利益，不得以任何方式泄露与公司有关的未公开重大信息，不得从事内幕交易、短线交易、操纵市场等违法违规行为；</w:t>
      </w:r>
    </w:p>
    <w:p w14:paraId="55DADAEE"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（七）不得通过非公允的关联交易、利润分配、资产重组、对外投资等任何方式损害公司和其他股东的合法权益；</w:t>
      </w:r>
    </w:p>
    <w:p w14:paraId="480DC8A8"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（八）保证公司资产完整、人员独立、财务独立、机构独立和业务独立，不得以任何方式影响公司的独立性；</w:t>
      </w:r>
    </w:p>
    <w:p w14:paraId="53D7B9F5"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（九）法律、行政法规、中国证监会规定、证券交易所业务规则和本章程的其他规定。</w:t>
      </w:r>
    </w:p>
    <w:p w14:paraId="1605DF8C" w14:textId="77777777" w:rsidR="005A4DB3" w:rsidRPr="00292011"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公司的控股股东、实际控制人不担任公司董事但实际执行公司事务的，适用本章程关于董事忠实义务和勤勉义务的规定。</w:t>
      </w:r>
    </w:p>
    <w:p w14:paraId="7A5DB4C7"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sidRPr="00292011">
        <w:rPr>
          <w:rFonts w:ascii="宋体" w:hAnsi="宋体" w:cs="Arial" w:hint="eastAsia"/>
          <w:snapToGrid w:val="0"/>
          <w:kern w:val="0"/>
          <w:sz w:val="24"/>
        </w:rPr>
        <w:t xml:space="preserve">　　公司的控股股东、实际控制人指示董事、高级管理人员从事损害公司或者股</w:t>
      </w:r>
      <w:r w:rsidRPr="00292011">
        <w:rPr>
          <w:rFonts w:ascii="宋体" w:hAnsi="宋体" w:cs="Arial" w:hint="eastAsia"/>
          <w:snapToGrid w:val="0"/>
          <w:kern w:val="0"/>
          <w:sz w:val="24"/>
        </w:rPr>
        <w:lastRenderedPageBreak/>
        <w:t>东利益的行为的，与该董事、高级管理人员承担连带责任。</w:t>
      </w:r>
    </w:p>
    <w:p w14:paraId="77ED3BF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控股股东、实际控制人质押其所持有或者实际支配的公司股票的，应当维持公司控制权和生产经营稳定。</w:t>
      </w:r>
    </w:p>
    <w:p w14:paraId="63224E5E" w14:textId="77777777" w:rsidR="005A4DB3" w:rsidRPr="00292011"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控股股东、实际控制人转让其所持有的本公司股份的，应当遵守法律、行政法规、中国证监会和证券交易所的规定中关于股份转让的限制性规定</w:t>
      </w:r>
      <w:proofErr w:type="gramStart"/>
      <w:r>
        <w:rPr>
          <w:rFonts w:ascii="宋体" w:hAnsi="宋体" w:cs="Arial" w:hint="eastAsia"/>
          <w:snapToGrid w:val="0"/>
          <w:kern w:val="0"/>
          <w:sz w:val="24"/>
        </w:rPr>
        <w:t>及其就</w:t>
      </w:r>
      <w:proofErr w:type="gramEnd"/>
      <w:r>
        <w:rPr>
          <w:rFonts w:ascii="宋体" w:hAnsi="宋体" w:cs="Arial" w:hint="eastAsia"/>
          <w:snapToGrid w:val="0"/>
          <w:kern w:val="0"/>
          <w:sz w:val="24"/>
        </w:rPr>
        <w:t>限制股份转让</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的承诺。</w:t>
      </w:r>
    </w:p>
    <w:p w14:paraId="4FD542C1" w14:textId="50A67A65" w:rsidR="005A4DB3" w:rsidRDefault="00F11E53">
      <w:pPr>
        <w:pStyle w:val="2"/>
        <w:spacing w:beforeLines="50" w:before="156" w:afterLines="50" w:after="156" w:line="360" w:lineRule="auto"/>
        <w:rPr>
          <w:snapToGrid w:val="0"/>
          <w:kern w:val="0"/>
        </w:rPr>
      </w:pPr>
      <w:bookmarkStart w:id="26" w:name="_Toc414213713"/>
      <w:bookmarkStart w:id="27" w:name="_Toc495415943"/>
      <w:bookmarkStart w:id="28" w:name="_Toc212813222"/>
      <w:r>
        <w:rPr>
          <w:snapToGrid w:val="0"/>
          <w:kern w:val="0"/>
        </w:rPr>
        <w:t>第</w:t>
      </w:r>
      <w:r>
        <w:rPr>
          <w:rFonts w:hint="eastAsia"/>
          <w:snapToGrid w:val="0"/>
          <w:kern w:val="0"/>
        </w:rPr>
        <w:t>三</w:t>
      </w:r>
      <w:r>
        <w:rPr>
          <w:snapToGrid w:val="0"/>
          <w:kern w:val="0"/>
        </w:rPr>
        <w:t>节</w:t>
      </w:r>
      <w:r>
        <w:rPr>
          <w:snapToGrid w:val="0"/>
          <w:kern w:val="0"/>
        </w:rPr>
        <w:t xml:space="preserve"> </w:t>
      </w:r>
      <w:r>
        <w:rPr>
          <w:snapToGrid w:val="0"/>
          <w:kern w:val="0"/>
        </w:rPr>
        <w:t>股东会的一般规定</w:t>
      </w:r>
      <w:bookmarkEnd w:id="26"/>
      <w:bookmarkEnd w:id="27"/>
      <w:bookmarkEnd w:id="28"/>
    </w:p>
    <w:p w14:paraId="436EB935" w14:textId="0ACF2C1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公司股东会由全体股东组成。</w:t>
      </w:r>
      <w:r>
        <w:rPr>
          <w:rFonts w:ascii="宋体" w:hAnsi="宋体" w:cs="Arial"/>
          <w:snapToGrid w:val="0"/>
          <w:kern w:val="0"/>
          <w:sz w:val="24"/>
        </w:rPr>
        <w:t>股东会是公司的权力机构，依法行使下列职权：</w:t>
      </w:r>
    </w:p>
    <w:p w14:paraId="41CB2D4B" w14:textId="423085C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一</w:t>
      </w:r>
      <w:r>
        <w:rPr>
          <w:rFonts w:ascii="宋体" w:hAnsi="宋体" w:cs="Arial"/>
          <w:snapToGrid w:val="0"/>
          <w:kern w:val="0"/>
          <w:sz w:val="24"/>
        </w:rPr>
        <w:t>）选举和更换董事，决定有关董事的报酬事项；</w:t>
      </w:r>
    </w:p>
    <w:p w14:paraId="2A95691E" w14:textId="5A890406"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二</w:t>
      </w:r>
      <w:r>
        <w:rPr>
          <w:rFonts w:ascii="宋体" w:hAnsi="宋体" w:cs="Arial"/>
          <w:snapToGrid w:val="0"/>
          <w:kern w:val="0"/>
          <w:sz w:val="24"/>
        </w:rPr>
        <w:t>）审议批准董事会的报告；</w:t>
      </w:r>
    </w:p>
    <w:p w14:paraId="2212792D" w14:textId="7BEF50DF"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三</w:t>
      </w:r>
      <w:r>
        <w:rPr>
          <w:rFonts w:ascii="宋体" w:hAnsi="宋体" w:cs="Arial"/>
          <w:snapToGrid w:val="0"/>
          <w:kern w:val="0"/>
          <w:sz w:val="24"/>
        </w:rPr>
        <w:t>）审议批准公司的利润分配方案和弥补亏损方案；</w:t>
      </w:r>
    </w:p>
    <w:p w14:paraId="39BF6D58" w14:textId="26FE6EED"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四</w:t>
      </w:r>
      <w:r>
        <w:rPr>
          <w:rFonts w:ascii="宋体" w:hAnsi="宋体" w:cs="Arial"/>
          <w:snapToGrid w:val="0"/>
          <w:kern w:val="0"/>
          <w:sz w:val="24"/>
        </w:rPr>
        <w:t>）对公司增加或者减少注册资本</w:t>
      </w:r>
      <w:proofErr w:type="gramStart"/>
      <w:r>
        <w:rPr>
          <w:rFonts w:ascii="宋体" w:hAnsi="宋体" w:cs="Arial"/>
          <w:snapToGrid w:val="0"/>
          <w:kern w:val="0"/>
          <w:sz w:val="24"/>
        </w:rPr>
        <w:t>作出</w:t>
      </w:r>
      <w:proofErr w:type="gramEnd"/>
      <w:r>
        <w:rPr>
          <w:rFonts w:ascii="宋体" w:hAnsi="宋体" w:cs="Arial"/>
          <w:snapToGrid w:val="0"/>
          <w:kern w:val="0"/>
          <w:sz w:val="24"/>
        </w:rPr>
        <w:t>决议；</w:t>
      </w:r>
    </w:p>
    <w:p w14:paraId="7FD29312" w14:textId="09F253F1"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五</w:t>
      </w:r>
      <w:r>
        <w:rPr>
          <w:rFonts w:ascii="宋体" w:hAnsi="宋体" w:cs="Arial"/>
          <w:snapToGrid w:val="0"/>
          <w:kern w:val="0"/>
          <w:sz w:val="24"/>
        </w:rPr>
        <w:t>）对发行公司债券</w:t>
      </w:r>
      <w:proofErr w:type="gramStart"/>
      <w:r>
        <w:rPr>
          <w:rFonts w:ascii="宋体" w:hAnsi="宋体" w:cs="Arial"/>
          <w:snapToGrid w:val="0"/>
          <w:kern w:val="0"/>
          <w:sz w:val="24"/>
        </w:rPr>
        <w:t>作出</w:t>
      </w:r>
      <w:proofErr w:type="gramEnd"/>
      <w:r>
        <w:rPr>
          <w:rFonts w:ascii="宋体" w:hAnsi="宋体" w:cs="Arial"/>
          <w:snapToGrid w:val="0"/>
          <w:kern w:val="0"/>
          <w:sz w:val="24"/>
        </w:rPr>
        <w:t>决议；</w:t>
      </w:r>
    </w:p>
    <w:p w14:paraId="4C610C07" w14:textId="308AEFDC"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六</w:t>
      </w:r>
      <w:r>
        <w:rPr>
          <w:rFonts w:ascii="宋体" w:hAnsi="宋体" w:cs="Arial"/>
          <w:snapToGrid w:val="0"/>
          <w:kern w:val="0"/>
          <w:sz w:val="24"/>
        </w:rPr>
        <w:t>）</w:t>
      </w:r>
      <w:r>
        <w:rPr>
          <w:rFonts w:ascii="宋体" w:hAnsi="宋体" w:cs="Arial" w:hint="eastAsia"/>
          <w:snapToGrid w:val="0"/>
          <w:kern w:val="0"/>
          <w:sz w:val="24"/>
        </w:rPr>
        <w:t>对公司合并、分立、解散、清算或者变更公司形式</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w:t>
      </w:r>
    </w:p>
    <w:p w14:paraId="4217575D" w14:textId="5D20A44F"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（七）</w:t>
      </w:r>
      <w:r>
        <w:rPr>
          <w:rFonts w:ascii="宋体" w:hAnsi="宋体" w:cs="Arial"/>
          <w:snapToGrid w:val="0"/>
          <w:kern w:val="0"/>
          <w:sz w:val="24"/>
        </w:rPr>
        <w:t>修改本章程；</w:t>
      </w:r>
    </w:p>
    <w:p w14:paraId="147F5711" w14:textId="0577EA32"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八</w:t>
      </w:r>
      <w:r>
        <w:rPr>
          <w:rFonts w:ascii="宋体" w:hAnsi="宋体" w:cs="Arial"/>
          <w:snapToGrid w:val="0"/>
          <w:kern w:val="0"/>
          <w:sz w:val="24"/>
        </w:rPr>
        <w:t>）</w:t>
      </w:r>
      <w:r>
        <w:rPr>
          <w:rFonts w:ascii="宋体" w:hAnsi="宋体" w:cs="Arial" w:hint="eastAsia"/>
          <w:snapToGrid w:val="0"/>
          <w:kern w:val="0"/>
          <w:sz w:val="24"/>
        </w:rPr>
        <w:t>对公司聘用、解聘承办公司审计业务的会计师事务所</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w:t>
      </w:r>
    </w:p>
    <w:p w14:paraId="743BD734" w14:textId="64B40E5C"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九</w:t>
      </w:r>
      <w:r>
        <w:rPr>
          <w:rFonts w:ascii="宋体" w:hAnsi="宋体" w:cs="Arial"/>
          <w:snapToGrid w:val="0"/>
          <w:kern w:val="0"/>
          <w:sz w:val="24"/>
        </w:rPr>
        <w:t>）</w:t>
      </w:r>
      <w:r>
        <w:rPr>
          <w:rFonts w:ascii="宋体" w:hAnsi="宋体" w:cs="Arial" w:hint="eastAsia"/>
          <w:snapToGrid w:val="0"/>
          <w:kern w:val="0"/>
          <w:sz w:val="24"/>
        </w:rPr>
        <w:t>审议批准第四十六条规定的担保事项；</w:t>
      </w:r>
    </w:p>
    <w:p w14:paraId="36BBD04A" w14:textId="6A97D0DC"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（十）审议公司在</w:t>
      </w:r>
      <w:r>
        <w:rPr>
          <w:rFonts w:ascii="宋体" w:hAnsi="宋体" w:cs="Arial"/>
          <w:snapToGrid w:val="0"/>
          <w:kern w:val="0"/>
          <w:sz w:val="24"/>
        </w:rPr>
        <w:t>1</w:t>
      </w:r>
      <w:r>
        <w:rPr>
          <w:rFonts w:ascii="宋体" w:hAnsi="宋体" w:cs="Arial" w:hint="eastAsia"/>
          <w:snapToGrid w:val="0"/>
          <w:kern w:val="0"/>
          <w:sz w:val="24"/>
        </w:rPr>
        <w:t>年内购买、出售重大资产超过公司最近一期经审计总资产</w:t>
      </w:r>
      <w:r>
        <w:rPr>
          <w:rFonts w:ascii="宋体" w:hAnsi="宋体" w:cs="Arial"/>
          <w:snapToGrid w:val="0"/>
          <w:kern w:val="0"/>
          <w:sz w:val="24"/>
        </w:rPr>
        <w:t>30％</w:t>
      </w:r>
      <w:r>
        <w:rPr>
          <w:rFonts w:ascii="宋体" w:hAnsi="宋体" w:cs="Arial" w:hint="eastAsia"/>
          <w:snapToGrid w:val="0"/>
          <w:kern w:val="0"/>
          <w:sz w:val="24"/>
        </w:rPr>
        <w:t>的事项；</w:t>
      </w:r>
    </w:p>
    <w:p w14:paraId="10A3F155" w14:textId="54F4F00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（十</w:t>
      </w:r>
      <w:r w:rsidR="00793C1B">
        <w:rPr>
          <w:rFonts w:ascii="宋体" w:hAnsi="宋体" w:cs="Arial" w:hint="eastAsia"/>
          <w:snapToGrid w:val="0"/>
          <w:kern w:val="0"/>
          <w:sz w:val="24"/>
        </w:rPr>
        <w:t>一</w:t>
      </w:r>
      <w:r>
        <w:rPr>
          <w:rFonts w:ascii="宋体" w:hAnsi="宋体" w:cs="Arial" w:hint="eastAsia"/>
          <w:snapToGrid w:val="0"/>
          <w:kern w:val="0"/>
          <w:sz w:val="24"/>
        </w:rPr>
        <w:t>）审议批准变更募集资金用途事项；</w:t>
      </w:r>
    </w:p>
    <w:p w14:paraId="7C6E11E2" w14:textId="12A5462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（十</w:t>
      </w:r>
      <w:r w:rsidR="00793C1B">
        <w:rPr>
          <w:rFonts w:ascii="宋体" w:hAnsi="宋体" w:cs="Arial" w:hint="eastAsia"/>
          <w:snapToGrid w:val="0"/>
          <w:kern w:val="0"/>
          <w:sz w:val="24"/>
        </w:rPr>
        <w:t>二</w:t>
      </w:r>
      <w:r>
        <w:rPr>
          <w:rFonts w:ascii="宋体" w:hAnsi="宋体" w:cs="Arial" w:hint="eastAsia"/>
          <w:snapToGrid w:val="0"/>
          <w:kern w:val="0"/>
          <w:sz w:val="24"/>
        </w:rPr>
        <w:t>）审议股权激励计划和员工持股计划；</w:t>
      </w:r>
    </w:p>
    <w:p w14:paraId="25B0FA4C" w14:textId="6980CDBC"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（十</w:t>
      </w:r>
      <w:r w:rsidR="00793C1B">
        <w:rPr>
          <w:rFonts w:ascii="宋体" w:hAnsi="宋体" w:cs="Arial" w:hint="eastAsia"/>
          <w:snapToGrid w:val="0"/>
          <w:kern w:val="0"/>
          <w:sz w:val="24"/>
        </w:rPr>
        <w:t>三</w:t>
      </w:r>
      <w:r>
        <w:rPr>
          <w:rFonts w:ascii="宋体" w:hAnsi="宋体" w:cs="Arial" w:hint="eastAsia"/>
          <w:snapToGrid w:val="0"/>
          <w:kern w:val="0"/>
          <w:sz w:val="24"/>
        </w:rPr>
        <w:t>）公司年度股东会可以授权董事会决定向特定对象发行融资总额不超过人民币三亿元且不超过最近一年末净资产百分之二十的股票，该授权在下一年</w:t>
      </w:r>
      <w:r>
        <w:rPr>
          <w:rFonts w:ascii="宋体" w:hAnsi="宋体" w:cs="Arial" w:hint="eastAsia"/>
          <w:snapToGrid w:val="0"/>
          <w:kern w:val="0"/>
          <w:sz w:val="24"/>
        </w:rPr>
        <w:lastRenderedPageBreak/>
        <w:t>度股东会召开日失效；</w:t>
      </w:r>
    </w:p>
    <w:p w14:paraId="117EFE5E" w14:textId="1B0A6D01"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（十</w:t>
      </w:r>
      <w:r w:rsidR="00793C1B">
        <w:rPr>
          <w:rFonts w:ascii="宋体" w:hAnsi="宋体" w:cs="Arial" w:hint="eastAsia"/>
          <w:snapToGrid w:val="0"/>
          <w:kern w:val="0"/>
          <w:sz w:val="24"/>
        </w:rPr>
        <w:t>四</w:t>
      </w:r>
      <w:r>
        <w:rPr>
          <w:rFonts w:ascii="宋体" w:hAnsi="宋体" w:cs="Arial" w:hint="eastAsia"/>
          <w:snapToGrid w:val="0"/>
          <w:kern w:val="0"/>
          <w:sz w:val="24"/>
        </w:rPr>
        <w:t>）</w:t>
      </w:r>
      <w:r>
        <w:rPr>
          <w:rFonts w:ascii="宋体" w:hAnsi="宋体" w:cs="Arial"/>
          <w:snapToGrid w:val="0"/>
          <w:kern w:val="0"/>
          <w:sz w:val="24"/>
        </w:rPr>
        <w:t>审议法律、行政法规、部门规章或本章程规定应当由股东会决定的其他事项。</w:t>
      </w:r>
    </w:p>
    <w:p w14:paraId="4FF11DEF" w14:textId="7A04835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公司下列对外担保行为</w:t>
      </w:r>
      <w:r>
        <w:rPr>
          <w:rFonts w:ascii="宋体" w:hAnsi="宋体" w:cs="Arial"/>
          <w:snapToGrid w:val="0"/>
          <w:kern w:val="0"/>
          <w:sz w:val="24"/>
        </w:rPr>
        <w:t>，</w:t>
      </w:r>
      <w:r>
        <w:rPr>
          <w:rFonts w:ascii="宋体" w:hAnsi="宋体" w:cs="Arial" w:hint="eastAsia"/>
          <w:snapToGrid w:val="0"/>
          <w:kern w:val="0"/>
          <w:sz w:val="24"/>
        </w:rPr>
        <w:t>须经股东会审议通过。</w:t>
      </w:r>
    </w:p>
    <w:p w14:paraId="70164618"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（一）单笔担保额超过公司最近一期经审计净资产10%的担保；</w:t>
      </w:r>
    </w:p>
    <w:p w14:paraId="218BF29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w:t>
      </w:r>
      <w:r>
        <w:rPr>
          <w:rFonts w:ascii="宋体" w:hAnsi="宋体" w:cs="Arial"/>
          <w:snapToGrid w:val="0"/>
          <w:kern w:val="0"/>
          <w:sz w:val="24"/>
        </w:rPr>
        <w:t>公司及公司控股子公司的对外担保总额，</w:t>
      </w:r>
      <w:bookmarkStart w:id="29" w:name="_Hlk215137217"/>
      <w:r>
        <w:rPr>
          <w:rFonts w:ascii="宋体" w:hAnsi="宋体" w:cs="Arial"/>
          <w:snapToGrid w:val="0"/>
          <w:kern w:val="0"/>
          <w:sz w:val="24"/>
        </w:rPr>
        <w:t>达到或超过最近一期经审计净资产的50%以后提供的任何担保</w:t>
      </w:r>
      <w:bookmarkEnd w:id="29"/>
      <w:r>
        <w:rPr>
          <w:rFonts w:ascii="宋体" w:hAnsi="宋体" w:cs="Arial"/>
          <w:snapToGrid w:val="0"/>
          <w:kern w:val="0"/>
          <w:sz w:val="24"/>
        </w:rPr>
        <w:t>；</w:t>
      </w:r>
    </w:p>
    <w:p w14:paraId="10E76075" w14:textId="120772C8"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w:t>
      </w:r>
      <w:bookmarkStart w:id="30" w:name="_Hlk215137229"/>
      <w:r>
        <w:rPr>
          <w:rFonts w:ascii="宋体" w:hAnsi="宋体" w:cs="Arial" w:hint="eastAsia"/>
          <w:snapToGrid w:val="0"/>
          <w:kern w:val="0"/>
          <w:sz w:val="24"/>
        </w:rPr>
        <w:t>公司的对外担保总额，超过最近一期经审计总资产的30%以后提供的任何担保</w:t>
      </w:r>
      <w:bookmarkEnd w:id="30"/>
      <w:r>
        <w:rPr>
          <w:rFonts w:ascii="宋体" w:hAnsi="宋体" w:cs="Arial" w:hint="eastAsia"/>
          <w:snapToGrid w:val="0"/>
          <w:kern w:val="0"/>
          <w:sz w:val="24"/>
        </w:rPr>
        <w:t>；</w:t>
      </w:r>
    </w:p>
    <w:p w14:paraId="176C1FC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w:t>
      </w:r>
      <w:bookmarkStart w:id="31" w:name="_Hlk215137235"/>
      <w:r>
        <w:rPr>
          <w:rFonts w:ascii="宋体" w:hAnsi="宋体" w:cs="Arial" w:hint="eastAsia"/>
          <w:snapToGrid w:val="0"/>
          <w:kern w:val="0"/>
          <w:sz w:val="24"/>
        </w:rPr>
        <w:t>公司在一年内向他人提供担保的金额超过公司最近一期经审计总资产百分之三十的担保</w:t>
      </w:r>
      <w:bookmarkEnd w:id="31"/>
      <w:r>
        <w:rPr>
          <w:rFonts w:ascii="宋体" w:hAnsi="宋体" w:cs="Arial" w:hint="eastAsia"/>
          <w:snapToGrid w:val="0"/>
          <w:kern w:val="0"/>
          <w:sz w:val="24"/>
        </w:rPr>
        <w:t>；</w:t>
      </w:r>
    </w:p>
    <w:p w14:paraId="2A0CD743" w14:textId="42CB1E2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（五）</w:t>
      </w:r>
      <w:r>
        <w:rPr>
          <w:rFonts w:ascii="宋体" w:hAnsi="宋体" w:cs="Arial"/>
          <w:snapToGrid w:val="0"/>
          <w:kern w:val="0"/>
          <w:sz w:val="24"/>
        </w:rPr>
        <w:t>为资产负债率超过70%的担保对象提供的担保；</w:t>
      </w:r>
    </w:p>
    <w:p w14:paraId="3D3AD9D8" w14:textId="6647132B"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（六）</w:t>
      </w:r>
      <w:r>
        <w:rPr>
          <w:rFonts w:ascii="宋体" w:hAnsi="宋体" w:cs="Arial"/>
          <w:snapToGrid w:val="0"/>
          <w:kern w:val="0"/>
          <w:sz w:val="24"/>
        </w:rPr>
        <w:t>对股东、实际控制人及其关联方提供的担保；</w:t>
      </w:r>
    </w:p>
    <w:p w14:paraId="15C40B70"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（七）</w:t>
      </w:r>
      <w:bookmarkStart w:id="32" w:name="_Hlk215137250"/>
      <w:r>
        <w:rPr>
          <w:rFonts w:ascii="宋体" w:hAnsi="宋体" w:cs="Arial" w:hint="eastAsia"/>
          <w:snapToGrid w:val="0"/>
          <w:kern w:val="0"/>
          <w:sz w:val="24"/>
        </w:rPr>
        <w:t>上海证券交易所或公司章程规定的其他担保</w:t>
      </w:r>
      <w:bookmarkEnd w:id="32"/>
      <w:r>
        <w:rPr>
          <w:rFonts w:ascii="宋体" w:hAnsi="宋体" w:cs="Arial" w:hint="eastAsia"/>
          <w:snapToGrid w:val="0"/>
          <w:kern w:val="0"/>
          <w:sz w:val="24"/>
        </w:rPr>
        <w:t>。</w:t>
      </w:r>
    </w:p>
    <w:p w14:paraId="1CF7849B"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公司股东会审议前款第（四）项担保时，应当经出席会议的股东所持表决权的三分之二以上通过。</w:t>
      </w:r>
    </w:p>
    <w:p w14:paraId="5EA6FBA2" w14:textId="1366D62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股东会分为年度股东会和临时股东会，年度股东会每年召开</w:t>
      </w:r>
      <w:r>
        <w:rPr>
          <w:rFonts w:ascii="宋体" w:hAnsi="宋体" w:cs="Arial" w:hint="eastAsia"/>
          <w:snapToGrid w:val="0"/>
          <w:kern w:val="0"/>
          <w:sz w:val="24"/>
        </w:rPr>
        <w:t>一</w:t>
      </w:r>
      <w:r>
        <w:rPr>
          <w:rFonts w:ascii="宋体" w:hAnsi="宋体" w:cs="Arial"/>
          <w:snapToGrid w:val="0"/>
          <w:kern w:val="0"/>
          <w:sz w:val="24"/>
        </w:rPr>
        <w:t>次</w:t>
      </w:r>
      <w:r>
        <w:rPr>
          <w:rFonts w:ascii="宋体" w:hAnsi="宋体" w:cs="Arial" w:hint="eastAsia"/>
          <w:snapToGrid w:val="0"/>
          <w:kern w:val="0"/>
          <w:sz w:val="24"/>
        </w:rPr>
        <w:t>，应当于上一会计年度结束后的</w:t>
      </w:r>
      <w:r>
        <w:rPr>
          <w:rFonts w:ascii="宋体" w:hAnsi="宋体" w:cs="Arial"/>
          <w:snapToGrid w:val="0"/>
          <w:kern w:val="0"/>
          <w:sz w:val="24"/>
        </w:rPr>
        <w:t>6</w:t>
      </w:r>
      <w:r>
        <w:rPr>
          <w:rFonts w:ascii="宋体" w:hAnsi="宋体" w:cs="Arial" w:hint="eastAsia"/>
          <w:snapToGrid w:val="0"/>
          <w:kern w:val="0"/>
          <w:sz w:val="24"/>
        </w:rPr>
        <w:t>个月内举行。</w:t>
      </w:r>
    </w:p>
    <w:p w14:paraId="47106113" w14:textId="6B31CB2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有下列情形之一的,公司在事实发生之日起</w:t>
      </w:r>
      <w:r>
        <w:rPr>
          <w:rFonts w:ascii="宋体" w:hAnsi="宋体" w:cs="Arial" w:hint="eastAsia"/>
          <w:snapToGrid w:val="0"/>
          <w:kern w:val="0"/>
          <w:sz w:val="24"/>
        </w:rPr>
        <w:t>两个</w:t>
      </w:r>
      <w:r>
        <w:rPr>
          <w:rFonts w:ascii="宋体" w:hAnsi="宋体" w:cs="Arial"/>
          <w:snapToGrid w:val="0"/>
          <w:kern w:val="0"/>
          <w:sz w:val="24"/>
        </w:rPr>
        <w:t>月以内召开临时股东会</w:t>
      </w:r>
      <w:r>
        <w:rPr>
          <w:rFonts w:ascii="宋体" w:hAnsi="宋体" w:cs="Arial" w:hint="eastAsia"/>
          <w:snapToGrid w:val="0"/>
          <w:kern w:val="0"/>
          <w:sz w:val="24"/>
        </w:rPr>
        <w:t>：</w:t>
      </w:r>
    </w:p>
    <w:p w14:paraId="5A68ECF8" w14:textId="165056CA"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（一）董事人数不足《公司法》规定的人数或者公司章程所定人数的三分之二时</w:t>
      </w:r>
      <w:r>
        <w:rPr>
          <w:rFonts w:ascii="宋体" w:hAnsi="宋体" w:cs="Arial" w:hint="eastAsia"/>
          <w:snapToGrid w:val="0"/>
          <w:kern w:val="0"/>
          <w:sz w:val="24"/>
        </w:rPr>
        <w:t>（即6人）</w:t>
      </w:r>
      <w:r>
        <w:rPr>
          <w:rFonts w:ascii="宋体" w:hAnsi="宋体" w:cs="Arial"/>
          <w:snapToGrid w:val="0"/>
          <w:kern w:val="0"/>
          <w:sz w:val="24"/>
        </w:rPr>
        <w:t>；</w:t>
      </w:r>
    </w:p>
    <w:p w14:paraId="0657C27C" w14:textId="3D7E54A9"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（二）公司未弥补的亏损达股本总额</w:t>
      </w:r>
      <w:r>
        <w:rPr>
          <w:rFonts w:ascii="宋体" w:hAnsi="宋体" w:cs="Arial" w:hint="eastAsia"/>
          <w:snapToGrid w:val="0"/>
          <w:kern w:val="0"/>
          <w:sz w:val="24"/>
        </w:rPr>
        <w:t>三分之一</w:t>
      </w:r>
      <w:r>
        <w:rPr>
          <w:rFonts w:ascii="宋体" w:hAnsi="宋体" w:cs="Arial"/>
          <w:snapToGrid w:val="0"/>
          <w:kern w:val="0"/>
          <w:sz w:val="24"/>
        </w:rPr>
        <w:t>时；</w:t>
      </w:r>
    </w:p>
    <w:p w14:paraId="6FCCC119"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（三）单独或者合计持有公司</w:t>
      </w:r>
      <w:r>
        <w:rPr>
          <w:rFonts w:ascii="宋体" w:hAnsi="宋体" w:cs="Arial" w:hint="eastAsia"/>
          <w:snapToGrid w:val="0"/>
          <w:kern w:val="0"/>
          <w:sz w:val="24"/>
        </w:rPr>
        <w:t>百分之十</w:t>
      </w:r>
      <w:r>
        <w:rPr>
          <w:rFonts w:ascii="宋体" w:hAnsi="宋体" w:cs="Arial"/>
          <w:snapToGrid w:val="0"/>
          <w:kern w:val="0"/>
          <w:sz w:val="24"/>
        </w:rPr>
        <w:t>以上股份的股东请求时；</w:t>
      </w:r>
    </w:p>
    <w:p w14:paraId="1D18C2D0"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lastRenderedPageBreak/>
        <w:t xml:space="preserve">　　（四）董事会认为必要时；</w:t>
      </w:r>
    </w:p>
    <w:p w14:paraId="59F65A3C" w14:textId="704BEAEA" w:rsidR="005A4DB3" w:rsidRDefault="00F11E53">
      <w:pPr>
        <w:adjustRightInd w:val="0"/>
        <w:snapToGrid w:val="0"/>
        <w:spacing w:beforeLines="50" w:before="156" w:afterLines="50" w:after="156" w:line="360" w:lineRule="auto"/>
        <w:ind w:firstLine="468"/>
        <w:rPr>
          <w:rFonts w:ascii="宋体" w:hAnsi="宋体" w:cs="Arial" w:hint="eastAsia"/>
          <w:snapToGrid w:val="0"/>
          <w:kern w:val="0"/>
          <w:sz w:val="24"/>
        </w:rPr>
      </w:pPr>
      <w:r>
        <w:rPr>
          <w:rFonts w:ascii="宋体" w:hAnsi="宋体" w:cs="Arial"/>
          <w:snapToGrid w:val="0"/>
          <w:kern w:val="0"/>
          <w:sz w:val="24"/>
        </w:rPr>
        <w:t>（五）</w:t>
      </w:r>
      <w:r>
        <w:rPr>
          <w:rFonts w:ascii="宋体" w:hAnsi="宋体" w:cs="Arial" w:hint="eastAsia"/>
          <w:snapToGrid w:val="0"/>
          <w:kern w:val="0"/>
          <w:sz w:val="24"/>
        </w:rPr>
        <w:t>审计委员会</w:t>
      </w:r>
      <w:r>
        <w:rPr>
          <w:rFonts w:ascii="宋体" w:hAnsi="宋体" w:cs="Arial"/>
          <w:snapToGrid w:val="0"/>
          <w:kern w:val="0"/>
          <w:sz w:val="24"/>
        </w:rPr>
        <w:t>提议召开时；</w:t>
      </w:r>
    </w:p>
    <w:p w14:paraId="5AF0A43C" w14:textId="77777777" w:rsidR="005A4DB3" w:rsidRDefault="00F11E53">
      <w:pPr>
        <w:adjustRightInd w:val="0"/>
        <w:snapToGrid w:val="0"/>
        <w:spacing w:beforeLines="50" w:before="156" w:afterLines="50" w:after="156" w:line="360" w:lineRule="auto"/>
        <w:ind w:firstLine="468"/>
        <w:rPr>
          <w:rFonts w:ascii="宋体" w:hAnsi="宋体" w:cs="Arial" w:hint="eastAsia"/>
          <w:snapToGrid w:val="0"/>
          <w:kern w:val="0"/>
          <w:sz w:val="24"/>
        </w:rPr>
      </w:pPr>
      <w:r>
        <w:rPr>
          <w:rFonts w:ascii="宋体" w:hAnsi="宋体" w:cs="Arial"/>
          <w:snapToGrid w:val="0"/>
          <w:kern w:val="0"/>
          <w:sz w:val="24"/>
        </w:rPr>
        <w:t>（六）法律、行政法规、部门规章或本章程规定的其他情形。</w:t>
      </w:r>
    </w:p>
    <w:p w14:paraId="5CD975F9" w14:textId="2B7FF92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本</w:t>
      </w:r>
      <w:bookmarkStart w:id="33" w:name="_Hlk215131598"/>
      <w:r>
        <w:rPr>
          <w:rFonts w:ascii="宋体" w:hAnsi="宋体" w:cs="Arial"/>
          <w:snapToGrid w:val="0"/>
          <w:kern w:val="0"/>
          <w:sz w:val="24"/>
        </w:rPr>
        <w:t>公司召开股东会的地点为：</w:t>
      </w:r>
      <w:r>
        <w:rPr>
          <w:rFonts w:ascii="宋体" w:hAnsi="宋体" w:cs="Arial" w:hint="eastAsia"/>
          <w:snapToGrid w:val="0"/>
          <w:kern w:val="0"/>
          <w:sz w:val="24"/>
        </w:rPr>
        <w:t>公司住所地</w:t>
      </w:r>
      <w:r>
        <w:rPr>
          <w:rFonts w:ascii="宋体" w:hAnsi="宋体" w:cs="Arial"/>
          <w:snapToGrid w:val="0"/>
          <w:kern w:val="0"/>
          <w:sz w:val="24"/>
        </w:rPr>
        <w:t>。</w:t>
      </w:r>
      <w:bookmarkEnd w:id="33"/>
    </w:p>
    <w:p w14:paraId="1D8FCC0B" w14:textId="08597C9B"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股东会将设置会场，以现场会议形式召开。公司还将提供网络为股东参加股东会提供便利。</w:t>
      </w:r>
    </w:p>
    <w:p w14:paraId="30937BC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股东以网络投票方式进行投票表决的，按照中国证券监督管理委员会、上海证券交易所和中国证券登记结算有限责任公司等机构的相关规定以及本章程执行。</w:t>
      </w:r>
    </w:p>
    <w:p w14:paraId="24FFE9C4" w14:textId="762FD5A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公司召开股东会时将聘请律师对以下问题出具法律意见并公告：</w:t>
      </w:r>
    </w:p>
    <w:p w14:paraId="08B7DCB2" w14:textId="77777777" w:rsidR="005A4DB3" w:rsidRDefault="00F11E53">
      <w:pPr>
        <w:numPr>
          <w:ilvl w:val="0"/>
          <w:numId w:val="4"/>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会议的召集、召开程序是否符合法律、行政法规、本章程；</w:t>
      </w:r>
    </w:p>
    <w:p w14:paraId="109A6000" w14:textId="77777777" w:rsidR="005A4DB3" w:rsidRDefault="00F11E53">
      <w:pPr>
        <w:numPr>
          <w:ilvl w:val="0"/>
          <w:numId w:val="4"/>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出席会议人员的资格、召集人资格是否合法有效；</w:t>
      </w:r>
    </w:p>
    <w:p w14:paraId="0D61907B" w14:textId="77777777" w:rsidR="005A4DB3" w:rsidRDefault="00F11E53">
      <w:pPr>
        <w:numPr>
          <w:ilvl w:val="0"/>
          <w:numId w:val="4"/>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会议的表决程序、表决结果是否合法有效；</w:t>
      </w:r>
    </w:p>
    <w:p w14:paraId="72F0862A" w14:textId="77777777" w:rsidR="005A4DB3" w:rsidRDefault="00F11E53">
      <w:pPr>
        <w:numPr>
          <w:ilvl w:val="0"/>
          <w:numId w:val="4"/>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应本公司要求对其他有关问题出具的法律意见。</w:t>
      </w:r>
    </w:p>
    <w:p w14:paraId="15EDE4F3" w14:textId="1670C6FB" w:rsidR="005A4DB3" w:rsidRPr="003414E4" w:rsidRDefault="00F11E53" w:rsidP="003414E4">
      <w:pPr>
        <w:pStyle w:val="2"/>
        <w:spacing w:beforeLines="50" w:before="156" w:afterLines="50" w:after="156" w:line="360" w:lineRule="auto"/>
        <w:rPr>
          <w:snapToGrid w:val="0"/>
          <w:kern w:val="0"/>
        </w:rPr>
      </w:pPr>
      <w:bookmarkStart w:id="34" w:name="_Toc495415944"/>
      <w:bookmarkStart w:id="35" w:name="_Toc414213714"/>
      <w:bookmarkStart w:id="36" w:name="_Toc212813223"/>
      <w:r>
        <w:rPr>
          <w:snapToGrid w:val="0"/>
          <w:kern w:val="0"/>
        </w:rPr>
        <w:t>第</w:t>
      </w:r>
      <w:r>
        <w:rPr>
          <w:rFonts w:hint="eastAsia"/>
          <w:snapToGrid w:val="0"/>
          <w:kern w:val="0"/>
        </w:rPr>
        <w:t>四</w:t>
      </w:r>
      <w:r>
        <w:rPr>
          <w:snapToGrid w:val="0"/>
          <w:kern w:val="0"/>
        </w:rPr>
        <w:t>节</w:t>
      </w:r>
      <w:r>
        <w:rPr>
          <w:snapToGrid w:val="0"/>
          <w:kern w:val="0"/>
        </w:rPr>
        <w:t xml:space="preserve"> </w:t>
      </w:r>
      <w:r>
        <w:rPr>
          <w:snapToGrid w:val="0"/>
          <w:kern w:val="0"/>
        </w:rPr>
        <w:t>股东会的召集</w:t>
      </w:r>
      <w:bookmarkEnd w:id="34"/>
      <w:bookmarkEnd w:id="35"/>
      <w:bookmarkEnd w:id="36"/>
    </w:p>
    <w:p w14:paraId="62750469" w14:textId="4ED0D81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bookmarkStart w:id="37" w:name="_Hlk203403816"/>
      <w:r>
        <w:rPr>
          <w:rFonts w:ascii="宋体" w:hAnsi="宋体" w:cs="Arial" w:hint="eastAsia"/>
          <w:snapToGrid w:val="0"/>
          <w:kern w:val="0"/>
          <w:sz w:val="24"/>
        </w:rPr>
        <w:t>董事会应当在规定的期限内按时召集股东会</w:t>
      </w:r>
      <w:bookmarkEnd w:id="37"/>
      <w:r>
        <w:rPr>
          <w:rFonts w:ascii="宋体" w:hAnsi="宋体" w:cs="Arial" w:hint="eastAsia"/>
          <w:snapToGrid w:val="0"/>
          <w:kern w:val="0"/>
          <w:sz w:val="24"/>
        </w:rPr>
        <w:t>。经全体独立董事过半数同意，</w:t>
      </w:r>
      <w:bookmarkStart w:id="38" w:name="_Hlk203403906"/>
      <w:r>
        <w:rPr>
          <w:rFonts w:ascii="宋体" w:hAnsi="宋体" w:cs="Arial" w:hint="eastAsia"/>
          <w:snapToGrid w:val="0"/>
          <w:kern w:val="0"/>
          <w:sz w:val="24"/>
        </w:rPr>
        <w:t>独立董事有权向董事会提议召开临时股东会。</w:t>
      </w:r>
      <w:bookmarkStart w:id="39" w:name="_Hlk203403921"/>
      <w:bookmarkEnd w:id="38"/>
      <w:r>
        <w:rPr>
          <w:rFonts w:ascii="宋体" w:hAnsi="宋体" w:cs="Arial" w:hint="eastAsia"/>
          <w:snapToGrid w:val="0"/>
          <w:kern w:val="0"/>
          <w:sz w:val="24"/>
        </w:rPr>
        <w:t>对独立董事要求召开临时股东会的提议，董事会应当根据法律、行政法规和本章程的规定，在收到提议后</w:t>
      </w:r>
      <w:r>
        <w:rPr>
          <w:rFonts w:ascii="宋体" w:hAnsi="宋体" w:cs="Arial"/>
          <w:snapToGrid w:val="0"/>
          <w:kern w:val="0"/>
          <w:sz w:val="24"/>
        </w:rPr>
        <w:t>10</w:t>
      </w:r>
      <w:r>
        <w:rPr>
          <w:rFonts w:ascii="宋体" w:hAnsi="宋体" w:cs="Arial" w:hint="eastAsia"/>
          <w:snapToGrid w:val="0"/>
          <w:kern w:val="0"/>
          <w:sz w:val="24"/>
        </w:rPr>
        <w:t>日内提出同意或不同意召开临时股东会的书面反馈意见。</w:t>
      </w:r>
      <w:bookmarkEnd w:id="39"/>
    </w:p>
    <w:p w14:paraId="3E370A95" w14:textId="123104EA"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董事会同意召开临时股东会的，在</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董事会决议后的</w:t>
      </w:r>
      <w:r>
        <w:rPr>
          <w:rFonts w:ascii="宋体" w:hAnsi="宋体" w:cs="Arial"/>
          <w:snapToGrid w:val="0"/>
          <w:kern w:val="0"/>
          <w:sz w:val="24"/>
        </w:rPr>
        <w:t>5</w:t>
      </w:r>
      <w:r>
        <w:rPr>
          <w:rFonts w:ascii="宋体" w:hAnsi="宋体" w:cs="Arial" w:hint="eastAsia"/>
          <w:snapToGrid w:val="0"/>
          <w:kern w:val="0"/>
          <w:sz w:val="24"/>
        </w:rPr>
        <w:t>日内发出召开股东会的通知；董事会不同意召开临时股东会的，应说明理由并公告。</w:t>
      </w:r>
    </w:p>
    <w:p w14:paraId="609DD92F" w14:textId="3282A492" w:rsidR="005A4DB3" w:rsidRDefault="00F11E53">
      <w:pPr>
        <w:numPr>
          <w:ilvl w:val="0"/>
          <w:numId w:val="1"/>
        </w:numPr>
        <w:adjustRightInd w:val="0"/>
        <w:snapToGrid w:val="0"/>
        <w:spacing w:beforeLines="50" w:before="156" w:afterLines="50" w:after="156" w:line="360" w:lineRule="auto"/>
        <w:ind w:left="0" w:firstLineChars="331" w:firstLine="993"/>
        <w:rPr>
          <w:rFonts w:ascii="宋体" w:hAnsi="宋体" w:cs="Arial" w:hint="eastAsia"/>
          <w:snapToGrid w:val="0"/>
          <w:kern w:val="0"/>
          <w:sz w:val="24"/>
        </w:rPr>
      </w:pPr>
      <w:r>
        <w:rPr>
          <w:rFonts w:ascii="宋体" w:hAnsi="宋体" w:hint="eastAsia"/>
          <w:sz w:val="30"/>
        </w:rPr>
        <w:t xml:space="preserve"> </w:t>
      </w:r>
      <w:r>
        <w:rPr>
          <w:rFonts w:ascii="宋体" w:hAnsi="宋体" w:cs="Arial" w:hint="eastAsia"/>
          <w:snapToGrid w:val="0"/>
          <w:kern w:val="0"/>
          <w:sz w:val="24"/>
        </w:rPr>
        <w:t>审计委员会有权向董事会提议召开临时股东会，应当以书面形式向董事会提出。董事会应当根据法律、行政法规和本章程的规定，在收到提案后</w:t>
      </w:r>
      <w:r>
        <w:rPr>
          <w:rFonts w:ascii="宋体" w:hAnsi="宋体" w:cs="Arial"/>
          <w:snapToGrid w:val="0"/>
          <w:kern w:val="0"/>
          <w:sz w:val="24"/>
        </w:rPr>
        <w:t>10</w:t>
      </w:r>
      <w:r>
        <w:rPr>
          <w:rFonts w:ascii="宋体" w:hAnsi="宋体" w:cs="Arial" w:hint="eastAsia"/>
          <w:snapToGrid w:val="0"/>
          <w:kern w:val="0"/>
          <w:sz w:val="24"/>
        </w:rPr>
        <w:t>日内提出同意或不同意召开临时股东会的书面反馈意见。</w:t>
      </w:r>
    </w:p>
    <w:p w14:paraId="22A1BEDC" w14:textId="3E95131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董事会同意召开临时股东会的，将在</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董事会决议后的</w:t>
      </w:r>
      <w:r>
        <w:rPr>
          <w:rFonts w:ascii="宋体" w:hAnsi="宋体" w:cs="Arial"/>
          <w:snapToGrid w:val="0"/>
          <w:kern w:val="0"/>
          <w:sz w:val="24"/>
        </w:rPr>
        <w:t>5</w:t>
      </w:r>
      <w:r>
        <w:rPr>
          <w:rFonts w:ascii="宋体" w:hAnsi="宋体" w:cs="Arial" w:hint="eastAsia"/>
          <w:snapToGrid w:val="0"/>
          <w:kern w:val="0"/>
          <w:sz w:val="24"/>
        </w:rPr>
        <w:t>日内发出召开股</w:t>
      </w:r>
      <w:r>
        <w:rPr>
          <w:rFonts w:ascii="宋体" w:hAnsi="宋体" w:cs="Arial" w:hint="eastAsia"/>
          <w:snapToGrid w:val="0"/>
          <w:kern w:val="0"/>
          <w:sz w:val="24"/>
        </w:rPr>
        <w:lastRenderedPageBreak/>
        <w:t>东会的通知，通知中对原提议的变更，应征得审计委员会的同意。</w:t>
      </w:r>
    </w:p>
    <w:p w14:paraId="3223CF25" w14:textId="6ACD3070"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董事会不同意召开临时股东会，或者在收到提案后</w:t>
      </w:r>
      <w:r>
        <w:rPr>
          <w:rFonts w:ascii="宋体" w:hAnsi="宋体" w:cs="Arial"/>
          <w:snapToGrid w:val="0"/>
          <w:kern w:val="0"/>
          <w:sz w:val="24"/>
        </w:rPr>
        <w:t>10</w:t>
      </w:r>
      <w:r>
        <w:rPr>
          <w:rFonts w:ascii="宋体" w:hAnsi="宋体" w:cs="Arial" w:hint="eastAsia"/>
          <w:snapToGrid w:val="0"/>
          <w:kern w:val="0"/>
          <w:sz w:val="24"/>
        </w:rPr>
        <w:t>日内未</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反馈的，视为董事会不能履行或者不履行召集股东会会议职责，审计委员会可以自行召集和主持。</w:t>
      </w:r>
    </w:p>
    <w:p w14:paraId="22CE9463" w14:textId="082CF54D" w:rsidR="005A4DB3" w:rsidRDefault="00F11E53">
      <w:pPr>
        <w:numPr>
          <w:ilvl w:val="0"/>
          <w:numId w:val="1"/>
        </w:numPr>
        <w:adjustRightInd w:val="0"/>
        <w:snapToGrid w:val="0"/>
        <w:spacing w:beforeLines="50" w:before="156" w:afterLines="50" w:after="156" w:line="360" w:lineRule="auto"/>
        <w:ind w:left="0" w:firstLineChars="331" w:firstLine="993"/>
        <w:rPr>
          <w:rFonts w:ascii="宋体" w:hAnsi="宋体" w:cs="Arial" w:hint="eastAsia"/>
          <w:snapToGrid w:val="0"/>
          <w:kern w:val="0"/>
          <w:sz w:val="24"/>
        </w:rPr>
      </w:pPr>
      <w:r>
        <w:rPr>
          <w:rFonts w:ascii="宋体" w:hAnsi="宋体" w:hint="eastAsia"/>
          <w:sz w:val="30"/>
        </w:rPr>
        <w:t xml:space="preserve"> </w:t>
      </w:r>
      <w:r>
        <w:rPr>
          <w:rFonts w:ascii="宋体" w:hAnsi="宋体" w:cs="Arial" w:hint="eastAsia"/>
          <w:snapToGrid w:val="0"/>
          <w:kern w:val="0"/>
          <w:sz w:val="24"/>
        </w:rPr>
        <w:t>单独或者合计持有公司</w:t>
      </w:r>
      <w:r>
        <w:rPr>
          <w:rFonts w:ascii="宋体" w:hAnsi="宋体" w:cs="Arial"/>
          <w:snapToGrid w:val="0"/>
          <w:kern w:val="0"/>
          <w:sz w:val="24"/>
        </w:rPr>
        <w:t>10%</w:t>
      </w:r>
      <w:r>
        <w:rPr>
          <w:rFonts w:ascii="宋体" w:hAnsi="宋体" w:cs="Arial" w:hint="eastAsia"/>
          <w:snapToGrid w:val="0"/>
          <w:kern w:val="0"/>
          <w:sz w:val="24"/>
        </w:rPr>
        <w:t>以上股份的股东有权向董事会请求召开临时股东会，并应当以书面形式向董事会提出。董事会应当根据法律、行政法规和本章程的规定，在收到请求后</w:t>
      </w:r>
      <w:r>
        <w:rPr>
          <w:rFonts w:ascii="宋体" w:hAnsi="宋体" w:cs="Arial"/>
          <w:snapToGrid w:val="0"/>
          <w:kern w:val="0"/>
          <w:sz w:val="24"/>
        </w:rPr>
        <w:t>10</w:t>
      </w:r>
      <w:r>
        <w:rPr>
          <w:rFonts w:ascii="宋体" w:hAnsi="宋体" w:cs="Arial" w:hint="eastAsia"/>
          <w:snapToGrid w:val="0"/>
          <w:kern w:val="0"/>
          <w:sz w:val="24"/>
        </w:rPr>
        <w:t>日内提出同意或不同意召开临时股东会的书面反馈意见。</w:t>
      </w:r>
    </w:p>
    <w:p w14:paraId="6A1F5A8D" w14:textId="7283BAD1"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董事会同意召开临时股东会的，应当在</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董事会决议后的</w:t>
      </w:r>
      <w:r>
        <w:rPr>
          <w:rFonts w:ascii="宋体" w:hAnsi="宋体" w:cs="Arial"/>
          <w:snapToGrid w:val="0"/>
          <w:kern w:val="0"/>
          <w:sz w:val="24"/>
        </w:rPr>
        <w:t>5</w:t>
      </w:r>
      <w:r>
        <w:rPr>
          <w:rFonts w:ascii="宋体" w:hAnsi="宋体" w:cs="Arial" w:hint="eastAsia"/>
          <w:snapToGrid w:val="0"/>
          <w:kern w:val="0"/>
          <w:sz w:val="24"/>
        </w:rPr>
        <w:t>日内发出召开股东会的通知，通知中对原请求的变更，应当征得相关股东的同意。</w:t>
      </w:r>
    </w:p>
    <w:p w14:paraId="4FE1C317" w14:textId="78CB01EE"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董事会不同意召开临时股东会，或者在收到请求后</w:t>
      </w:r>
      <w:r>
        <w:rPr>
          <w:rFonts w:ascii="宋体" w:hAnsi="宋体" w:cs="Arial"/>
          <w:snapToGrid w:val="0"/>
          <w:kern w:val="0"/>
          <w:sz w:val="24"/>
        </w:rPr>
        <w:t>10</w:t>
      </w:r>
      <w:r>
        <w:rPr>
          <w:rFonts w:ascii="宋体" w:hAnsi="宋体" w:cs="Arial" w:hint="eastAsia"/>
          <w:snapToGrid w:val="0"/>
          <w:kern w:val="0"/>
          <w:sz w:val="24"/>
        </w:rPr>
        <w:t>日内未</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反馈的，单独或者合计持有公司</w:t>
      </w:r>
      <w:r>
        <w:rPr>
          <w:rFonts w:ascii="宋体" w:hAnsi="宋体" w:cs="Arial"/>
          <w:snapToGrid w:val="0"/>
          <w:kern w:val="0"/>
          <w:sz w:val="24"/>
        </w:rPr>
        <w:t>10%</w:t>
      </w:r>
      <w:r>
        <w:rPr>
          <w:rFonts w:ascii="宋体" w:hAnsi="宋体" w:cs="Arial" w:hint="eastAsia"/>
          <w:snapToGrid w:val="0"/>
          <w:kern w:val="0"/>
          <w:sz w:val="24"/>
        </w:rPr>
        <w:t>以上股份的股东有权向</w:t>
      </w:r>
      <w:bookmarkStart w:id="40" w:name="_Hlk203403994"/>
      <w:r>
        <w:rPr>
          <w:rFonts w:ascii="宋体" w:hAnsi="宋体" w:cs="Arial" w:hint="eastAsia"/>
          <w:snapToGrid w:val="0"/>
          <w:kern w:val="0"/>
          <w:sz w:val="24"/>
        </w:rPr>
        <w:t>审计委员会</w:t>
      </w:r>
      <w:bookmarkEnd w:id="40"/>
      <w:r>
        <w:rPr>
          <w:rFonts w:ascii="宋体" w:hAnsi="宋体" w:cs="Arial" w:hint="eastAsia"/>
          <w:snapToGrid w:val="0"/>
          <w:kern w:val="0"/>
          <w:sz w:val="24"/>
        </w:rPr>
        <w:t>提议召开临时股东会，应当以书面形式向审计委员会提出请求。</w:t>
      </w:r>
    </w:p>
    <w:p w14:paraId="23062A77" w14:textId="76EF6D3D"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审计委员会同意召开临时股东会的，应在收到请求</w:t>
      </w:r>
      <w:r>
        <w:rPr>
          <w:rFonts w:ascii="宋体" w:hAnsi="宋体" w:cs="Arial"/>
          <w:snapToGrid w:val="0"/>
          <w:kern w:val="0"/>
          <w:sz w:val="24"/>
        </w:rPr>
        <w:t>5</w:t>
      </w:r>
      <w:r>
        <w:rPr>
          <w:rFonts w:ascii="宋体" w:hAnsi="宋体" w:cs="Arial" w:hint="eastAsia"/>
          <w:snapToGrid w:val="0"/>
          <w:kern w:val="0"/>
          <w:sz w:val="24"/>
        </w:rPr>
        <w:t>日内发出召开股东会的通知，通知中对原提案的变更，应当征得相关股东的同意。</w:t>
      </w:r>
    </w:p>
    <w:p w14:paraId="3E97DA4B" w14:textId="7898E802"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审计委员会未在规定期限内发出股东会通知的，视为审计委员会不召集和主持股东会，连续</w:t>
      </w:r>
      <w:r>
        <w:rPr>
          <w:rFonts w:ascii="宋体" w:hAnsi="宋体" w:cs="Arial"/>
          <w:snapToGrid w:val="0"/>
          <w:kern w:val="0"/>
          <w:sz w:val="24"/>
        </w:rPr>
        <w:t>90</w:t>
      </w:r>
      <w:r>
        <w:rPr>
          <w:rFonts w:ascii="宋体" w:hAnsi="宋体" w:cs="Arial" w:hint="eastAsia"/>
          <w:snapToGrid w:val="0"/>
          <w:kern w:val="0"/>
          <w:sz w:val="24"/>
        </w:rPr>
        <w:t>日以上单独或者合计持有公司</w:t>
      </w:r>
      <w:r>
        <w:rPr>
          <w:rFonts w:ascii="宋体" w:hAnsi="宋体" w:cs="Arial"/>
          <w:snapToGrid w:val="0"/>
          <w:kern w:val="0"/>
          <w:sz w:val="24"/>
        </w:rPr>
        <w:t>10%</w:t>
      </w:r>
      <w:r>
        <w:rPr>
          <w:rFonts w:ascii="宋体" w:hAnsi="宋体" w:cs="Arial" w:hint="eastAsia"/>
          <w:snapToGrid w:val="0"/>
          <w:kern w:val="0"/>
          <w:sz w:val="24"/>
        </w:rPr>
        <w:t>以上股份的股东可以自行召集和主持。</w:t>
      </w:r>
    </w:p>
    <w:p w14:paraId="629E3886" w14:textId="5FD3BB0D"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审计委员会</w:t>
      </w:r>
      <w:r>
        <w:rPr>
          <w:rFonts w:ascii="宋体" w:hAnsi="宋体" w:cs="Arial"/>
          <w:snapToGrid w:val="0"/>
          <w:kern w:val="0"/>
          <w:sz w:val="24"/>
        </w:rPr>
        <w:t>或股东决定自行召集股东会的，须书面通知董事会，同时向证券交易所备案。</w:t>
      </w:r>
    </w:p>
    <w:p w14:paraId="6AEB5F3E" w14:textId="6EE428DD"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在股东会决议公告前，召集股东持股比例不得低于10%。</w:t>
      </w:r>
    </w:p>
    <w:p w14:paraId="62B1C34F" w14:textId="58BBC2D4"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审计委员会或召集股东应在发出股东会通知及股东会决议公告时，向</w:t>
      </w:r>
      <w:r>
        <w:rPr>
          <w:rFonts w:ascii="宋体" w:hAnsi="宋体" w:cs="Arial"/>
          <w:snapToGrid w:val="0"/>
          <w:kern w:val="0"/>
          <w:sz w:val="24"/>
        </w:rPr>
        <w:t>证券交易所提交有关证明材料。</w:t>
      </w:r>
    </w:p>
    <w:p w14:paraId="589E9C38" w14:textId="38F5F12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snapToGrid w:val="0"/>
          <w:kern w:val="0"/>
          <w:sz w:val="24"/>
        </w:rPr>
        <w:t xml:space="preserve"> 对于</w:t>
      </w:r>
      <w:r>
        <w:rPr>
          <w:rFonts w:ascii="宋体" w:hAnsi="宋体" w:cs="Arial" w:hint="eastAsia"/>
          <w:snapToGrid w:val="0"/>
          <w:kern w:val="0"/>
          <w:sz w:val="24"/>
        </w:rPr>
        <w:t>审计委员会</w:t>
      </w:r>
      <w:r>
        <w:rPr>
          <w:rFonts w:ascii="宋体" w:hAnsi="宋体" w:cs="Arial"/>
          <w:snapToGrid w:val="0"/>
          <w:kern w:val="0"/>
          <w:sz w:val="24"/>
        </w:rPr>
        <w:t>或股东自行召集的股东会，董事会和董事会秘书将予配合。董事会应当提供股权登记日的股东名册。</w:t>
      </w:r>
    </w:p>
    <w:p w14:paraId="57DBE71C" w14:textId="386C2B5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审计委员会</w:t>
      </w:r>
      <w:r>
        <w:rPr>
          <w:rFonts w:ascii="宋体" w:hAnsi="宋体" w:cs="Arial"/>
          <w:snapToGrid w:val="0"/>
          <w:kern w:val="0"/>
          <w:sz w:val="24"/>
        </w:rPr>
        <w:t>或股东自行召集的股东会，会议所必需的费用由本公</w:t>
      </w:r>
      <w:r>
        <w:rPr>
          <w:rFonts w:ascii="宋体" w:hAnsi="宋体" w:cs="Arial"/>
          <w:snapToGrid w:val="0"/>
          <w:kern w:val="0"/>
          <w:sz w:val="24"/>
        </w:rPr>
        <w:lastRenderedPageBreak/>
        <w:t>司承担。</w:t>
      </w:r>
    </w:p>
    <w:p w14:paraId="2A3E040D" w14:textId="2E313377" w:rsidR="005A4DB3" w:rsidRDefault="00F11E53">
      <w:pPr>
        <w:pStyle w:val="2"/>
        <w:spacing w:beforeLines="50" w:before="156" w:afterLines="50" w:after="156" w:line="360" w:lineRule="auto"/>
        <w:rPr>
          <w:snapToGrid w:val="0"/>
          <w:kern w:val="0"/>
        </w:rPr>
      </w:pPr>
      <w:bookmarkStart w:id="41" w:name="_Toc414213715"/>
      <w:bookmarkStart w:id="42" w:name="_Toc495415945"/>
      <w:bookmarkStart w:id="43" w:name="_Toc212813224"/>
      <w:r>
        <w:rPr>
          <w:snapToGrid w:val="0"/>
          <w:kern w:val="0"/>
        </w:rPr>
        <w:t>第</w:t>
      </w:r>
      <w:r>
        <w:rPr>
          <w:rFonts w:hint="eastAsia"/>
          <w:snapToGrid w:val="0"/>
          <w:kern w:val="0"/>
        </w:rPr>
        <w:t>五</w:t>
      </w:r>
      <w:r>
        <w:rPr>
          <w:snapToGrid w:val="0"/>
          <w:kern w:val="0"/>
        </w:rPr>
        <w:t>节</w:t>
      </w:r>
      <w:r>
        <w:rPr>
          <w:snapToGrid w:val="0"/>
          <w:kern w:val="0"/>
        </w:rPr>
        <w:t xml:space="preserve"> </w:t>
      </w:r>
      <w:r>
        <w:rPr>
          <w:snapToGrid w:val="0"/>
          <w:kern w:val="0"/>
        </w:rPr>
        <w:t>股东会的提案与通知</w:t>
      </w:r>
      <w:bookmarkEnd w:id="41"/>
      <w:bookmarkEnd w:id="42"/>
      <w:bookmarkEnd w:id="43"/>
    </w:p>
    <w:p w14:paraId="282E2943" w14:textId="36B3FA8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提案的内容应当属于股东会职权范围，有明确议题和具体决议事项，并且符合法律、行政法规和本章程的有关规定。</w:t>
      </w:r>
    </w:p>
    <w:p w14:paraId="0DF1AE35" w14:textId="6D4BBBC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公司召开股东会，董事会、</w:t>
      </w:r>
      <w:r>
        <w:rPr>
          <w:rFonts w:ascii="宋体" w:hAnsi="宋体" w:cs="Arial" w:hint="eastAsia"/>
          <w:snapToGrid w:val="0"/>
          <w:kern w:val="0"/>
          <w:sz w:val="24"/>
        </w:rPr>
        <w:t>审计委员会</w:t>
      </w:r>
      <w:r>
        <w:rPr>
          <w:rFonts w:ascii="宋体" w:hAnsi="宋体" w:cs="Arial"/>
          <w:snapToGrid w:val="0"/>
          <w:kern w:val="0"/>
          <w:sz w:val="24"/>
        </w:rPr>
        <w:t>以及单独或者合计持有公司</w:t>
      </w:r>
      <w:r>
        <w:rPr>
          <w:rFonts w:ascii="宋体" w:hAnsi="宋体" w:cs="Arial" w:hint="eastAsia"/>
          <w:snapToGrid w:val="0"/>
          <w:kern w:val="0"/>
          <w:sz w:val="24"/>
        </w:rPr>
        <w:t>百分之一</w:t>
      </w:r>
      <w:r>
        <w:rPr>
          <w:rFonts w:ascii="宋体" w:hAnsi="宋体" w:cs="Arial"/>
          <w:snapToGrid w:val="0"/>
          <w:kern w:val="0"/>
          <w:sz w:val="24"/>
        </w:rPr>
        <w:t>以上股份的股东，有权向公司提出提案。</w:t>
      </w:r>
    </w:p>
    <w:p w14:paraId="0BB4E9F2" w14:textId="288E2FCA"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单独或者合计持有公司</w:t>
      </w:r>
      <w:r>
        <w:rPr>
          <w:rFonts w:ascii="宋体" w:hAnsi="宋体" w:cs="Arial" w:hint="eastAsia"/>
          <w:snapToGrid w:val="0"/>
          <w:kern w:val="0"/>
          <w:sz w:val="24"/>
        </w:rPr>
        <w:t>百分之一</w:t>
      </w:r>
      <w:r>
        <w:rPr>
          <w:rFonts w:ascii="宋体" w:hAnsi="宋体" w:cs="Arial"/>
          <w:snapToGrid w:val="0"/>
          <w:kern w:val="0"/>
          <w:sz w:val="24"/>
        </w:rPr>
        <w:t>以上股份的股东，可以在股东会召开十日前提出临时提案并书面提交</w:t>
      </w:r>
      <w:r>
        <w:rPr>
          <w:rFonts w:ascii="宋体" w:hAnsi="宋体" w:cs="Arial" w:hint="eastAsia"/>
          <w:snapToGrid w:val="0"/>
          <w:kern w:val="0"/>
          <w:sz w:val="24"/>
        </w:rPr>
        <w:t>召集人。召集人</w:t>
      </w:r>
      <w:r>
        <w:rPr>
          <w:rFonts w:ascii="宋体" w:hAnsi="宋体" w:cs="Arial"/>
          <w:snapToGrid w:val="0"/>
          <w:kern w:val="0"/>
          <w:sz w:val="24"/>
        </w:rPr>
        <w:t>应当在收到提案后</w:t>
      </w:r>
      <w:r>
        <w:rPr>
          <w:rFonts w:ascii="宋体" w:hAnsi="宋体" w:cs="Arial" w:hint="eastAsia"/>
          <w:snapToGrid w:val="0"/>
          <w:kern w:val="0"/>
          <w:sz w:val="24"/>
        </w:rPr>
        <w:t>两</w:t>
      </w:r>
      <w:r>
        <w:rPr>
          <w:rFonts w:ascii="宋体" w:hAnsi="宋体" w:cs="Arial"/>
          <w:snapToGrid w:val="0"/>
          <w:kern w:val="0"/>
          <w:sz w:val="24"/>
        </w:rPr>
        <w:t>日内发出股东会补充通知，公告临时提案的内容</w:t>
      </w:r>
      <w:bookmarkStart w:id="44" w:name="_Hlk203404223"/>
      <w:r>
        <w:rPr>
          <w:rFonts w:ascii="宋体" w:hAnsi="宋体" w:cs="Arial" w:hint="eastAsia"/>
          <w:snapToGrid w:val="0"/>
          <w:kern w:val="0"/>
          <w:sz w:val="24"/>
        </w:rPr>
        <w:t>，并将该临时提案提交股东会审议。但临时提案违反法律、行政法规或者公司章程的规定，或者不属于股东会职权范围的除外。</w:t>
      </w:r>
      <w:bookmarkEnd w:id="44"/>
    </w:p>
    <w:p w14:paraId="367F8F5A" w14:textId="41310C12"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除前款规定的情形外,召集人在发出股东会通知公告后</w:t>
      </w:r>
      <w:r>
        <w:rPr>
          <w:rFonts w:ascii="宋体" w:hAnsi="宋体" w:cs="Arial" w:hint="eastAsia"/>
          <w:snapToGrid w:val="0"/>
          <w:kern w:val="0"/>
          <w:sz w:val="24"/>
        </w:rPr>
        <w:t>，</w:t>
      </w:r>
      <w:r>
        <w:rPr>
          <w:rFonts w:ascii="宋体" w:hAnsi="宋体" w:cs="Arial"/>
          <w:snapToGrid w:val="0"/>
          <w:kern w:val="0"/>
          <w:sz w:val="24"/>
        </w:rPr>
        <w:t>不得修改股东会通知中已列明的提案或增加新的提案。</w:t>
      </w:r>
    </w:p>
    <w:p w14:paraId="56AB5080" w14:textId="02597F40"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color w:val="000000"/>
          <w:kern w:val="0"/>
          <w:sz w:val="24"/>
        </w:rPr>
        <w:t>股东会通知中未列明或</w:t>
      </w:r>
      <w:r w:rsidR="005E7B4D">
        <w:rPr>
          <w:rFonts w:ascii="宋体" w:hAnsi="宋体" w:cs="Arial" w:hint="eastAsia"/>
          <w:snapToGrid w:val="0"/>
          <w:color w:val="000000"/>
          <w:kern w:val="0"/>
          <w:sz w:val="24"/>
        </w:rPr>
        <w:t>者</w:t>
      </w:r>
      <w:r>
        <w:rPr>
          <w:rFonts w:ascii="宋体" w:hAnsi="宋体" w:cs="Arial"/>
          <w:snapToGrid w:val="0"/>
          <w:color w:val="000000"/>
          <w:kern w:val="0"/>
          <w:sz w:val="24"/>
        </w:rPr>
        <w:t>不符合本章程规定的提案，</w:t>
      </w:r>
      <w:r>
        <w:rPr>
          <w:rFonts w:ascii="宋体" w:hAnsi="宋体" w:cs="Arial"/>
          <w:snapToGrid w:val="0"/>
          <w:kern w:val="0"/>
          <w:sz w:val="24"/>
        </w:rPr>
        <w:t>股东会不得进行表决并</w:t>
      </w:r>
      <w:proofErr w:type="gramStart"/>
      <w:r>
        <w:rPr>
          <w:rFonts w:ascii="宋体" w:hAnsi="宋体" w:cs="Arial"/>
          <w:snapToGrid w:val="0"/>
          <w:kern w:val="0"/>
          <w:sz w:val="24"/>
        </w:rPr>
        <w:t>作出</w:t>
      </w:r>
      <w:proofErr w:type="gramEnd"/>
      <w:r>
        <w:rPr>
          <w:rFonts w:ascii="宋体" w:hAnsi="宋体" w:cs="Arial"/>
          <w:snapToGrid w:val="0"/>
          <w:kern w:val="0"/>
          <w:sz w:val="24"/>
        </w:rPr>
        <w:t>决议。</w:t>
      </w:r>
    </w:p>
    <w:p w14:paraId="053C326B" w14:textId="6CD9737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召集人将在年度股东会召开</w:t>
      </w:r>
      <w:r>
        <w:rPr>
          <w:rFonts w:ascii="宋体" w:hAnsi="宋体" w:cs="Arial" w:hint="eastAsia"/>
          <w:snapToGrid w:val="0"/>
          <w:kern w:val="0"/>
          <w:sz w:val="24"/>
        </w:rPr>
        <w:t>二十</w:t>
      </w:r>
      <w:r>
        <w:rPr>
          <w:rFonts w:ascii="宋体" w:hAnsi="宋体" w:cs="Arial"/>
          <w:snapToGrid w:val="0"/>
          <w:kern w:val="0"/>
          <w:sz w:val="24"/>
        </w:rPr>
        <w:t>日前以公告方式通知各股东，临时股东会将于会议召开</w:t>
      </w:r>
      <w:r>
        <w:rPr>
          <w:rFonts w:ascii="宋体" w:hAnsi="宋体" w:cs="Arial" w:hint="eastAsia"/>
          <w:snapToGrid w:val="0"/>
          <w:kern w:val="0"/>
          <w:sz w:val="24"/>
        </w:rPr>
        <w:t>十</w:t>
      </w:r>
      <w:r>
        <w:rPr>
          <w:rFonts w:ascii="宋体" w:hAnsi="宋体" w:cs="Arial"/>
          <w:snapToGrid w:val="0"/>
          <w:kern w:val="0"/>
          <w:sz w:val="24"/>
        </w:rPr>
        <w:t>五日前以公告方式通知各股东。</w:t>
      </w:r>
    </w:p>
    <w:p w14:paraId="7166E645" w14:textId="6D2FE76F"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股东会的通知包括以下内容：</w:t>
      </w:r>
    </w:p>
    <w:p w14:paraId="139CD623"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（一）会议的时间、地点和会议期限；</w:t>
      </w:r>
    </w:p>
    <w:p w14:paraId="02CFB3F1"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（二）提交会议审议的事项和提案；</w:t>
      </w:r>
    </w:p>
    <w:p w14:paraId="7536D301" w14:textId="61CE7E8A"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（三）以明显的文字说明：全体股东均有权出席股东会，并可以书面委托代理人出席会议和参加表决，该股东代理人不必是公司的股东；</w:t>
      </w:r>
    </w:p>
    <w:p w14:paraId="5349BEE2" w14:textId="49D95FA8" w:rsidR="005A4DB3" w:rsidRDefault="00F11E53">
      <w:pPr>
        <w:adjustRightInd w:val="0"/>
        <w:snapToGrid w:val="0"/>
        <w:spacing w:beforeLines="50" w:before="156" w:afterLines="50" w:after="156" w:line="360" w:lineRule="auto"/>
        <w:ind w:firstLine="468"/>
        <w:rPr>
          <w:rFonts w:ascii="宋体" w:hAnsi="宋体" w:cs="Arial" w:hint="eastAsia"/>
          <w:snapToGrid w:val="0"/>
          <w:kern w:val="0"/>
          <w:sz w:val="24"/>
        </w:rPr>
      </w:pPr>
      <w:r>
        <w:rPr>
          <w:rFonts w:ascii="宋体" w:hAnsi="宋体" w:cs="Arial"/>
          <w:snapToGrid w:val="0"/>
          <w:kern w:val="0"/>
          <w:sz w:val="24"/>
        </w:rPr>
        <w:t>（四）有权出席股东</w:t>
      </w:r>
      <w:proofErr w:type="gramStart"/>
      <w:r>
        <w:rPr>
          <w:rFonts w:ascii="宋体" w:hAnsi="宋体" w:cs="Arial"/>
          <w:snapToGrid w:val="0"/>
          <w:kern w:val="0"/>
          <w:sz w:val="24"/>
        </w:rPr>
        <w:t>会股东</w:t>
      </w:r>
      <w:proofErr w:type="gramEnd"/>
      <w:r>
        <w:rPr>
          <w:rFonts w:ascii="宋体" w:hAnsi="宋体" w:cs="Arial"/>
          <w:snapToGrid w:val="0"/>
          <w:kern w:val="0"/>
          <w:sz w:val="24"/>
        </w:rPr>
        <w:t>的股权登记日；</w:t>
      </w:r>
    </w:p>
    <w:p w14:paraId="4F2CB5B3" w14:textId="33377C9C" w:rsidR="005A4DB3" w:rsidRDefault="00F11E53">
      <w:pPr>
        <w:adjustRightInd w:val="0"/>
        <w:snapToGrid w:val="0"/>
        <w:spacing w:beforeLines="50" w:before="156" w:afterLines="50" w:after="156" w:line="360" w:lineRule="auto"/>
        <w:ind w:firstLine="468"/>
        <w:rPr>
          <w:rFonts w:ascii="宋体" w:hAnsi="宋体" w:cs="Arial" w:hint="eastAsia"/>
          <w:snapToGrid w:val="0"/>
          <w:kern w:val="0"/>
          <w:sz w:val="24"/>
        </w:rPr>
      </w:pPr>
      <w:r>
        <w:rPr>
          <w:rFonts w:ascii="宋体" w:hAnsi="宋体" w:cs="Arial" w:hint="eastAsia"/>
          <w:snapToGrid w:val="0"/>
          <w:kern w:val="0"/>
          <w:sz w:val="24"/>
        </w:rPr>
        <w:t>（五）</w:t>
      </w:r>
      <w:r>
        <w:rPr>
          <w:rFonts w:ascii="宋体" w:hAnsi="宋体" w:cs="Arial"/>
          <w:snapToGrid w:val="0"/>
          <w:kern w:val="0"/>
          <w:sz w:val="24"/>
        </w:rPr>
        <w:t>会务常设联系人姓名，电话号码</w:t>
      </w:r>
      <w:r>
        <w:rPr>
          <w:rFonts w:ascii="宋体" w:hAnsi="宋体" w:cs="Arial" w:hint="eastAsia"/>
          <w:snapToGrid w:val="0"/>
          <w:kern w:val="0"/>
          <w:sz w:val="24"/>
        </w:rPr>
        <w:t>；</w:t>
      </w:r>
    </w:p>
    <w:p w14:paraId="01436674" w14:textId="77777777" w:rsidR="005A4DB3" w:rsidRDefault="00F11E53">
      <w:pPr>
        <w:adjustRightInd w:val="0"/>
        <w:snapToGrid w:val="0"/>
        <w:spacing w:beforeLines="50" w:before="156" w:afterLines="50" w:after="156" w:line="360" w:lineRule="auto"/>
        <w:ind w:firstLine="468"/>
        <w:rPr>
          <w:rFonts w:ascii="宋体" w:hAnsi="宋体" w:cs="Arial" w:hint="eastAsia"/>
          <w:snapToGrid w:val="0"/>
          <w:kern w:val="0"/>
          <w:sz w:val="24"/>
        </w:rPr>
      </w:pPr>
      <w:r>
        <w:rPr>
          <w:rFonts w:ascii="宋体" w:hAnsi="宋体" w:cs="Arial" w:hint="eastAsia"/>
          <w:snapToGrid w:val="0"/>
          <w:kern w:val="0"/>
          <w:sz w:val="24"/>
        </w:rPr>
        <w:t>（六）网络或其他方式的表决时间以及表决程序。</w:t>
      </w:r>
    </w:p>
    <w:p w14:paraId="11BE1C20" w14:textId="77777777" w:rsidR="005A4DB3" w:rsidRDefault="00F11E53">
      <w:pPr>
        <w:adjustRightInd w:val="0"/>
        <w:snapToGrid w:val="0"/>
        <w:spacing w:beforeLines="50" w:before="156" w:afterLines="50" w:after="156" w:line="360" w:lineRule="auto"/>
        <w:ind w:firstLine="468"/>
        <w:rPr>
          <w:rFonts w:ascii="宋体" w:hAnsi="宋体" w:cs="Arial" w:hint="eastAsia"/>
          <w:snapToGrid w:val="0"/>
          <w:kern w:val="0"/>
          <w:sz w:val="24"/>
        </w:rPr>
      </w:pPr>
      <w:bookmarkStart w:id="45" w:name="_Hlk203404312"/>
      <w:r>
        <w:rPr>
          <w:rFonts w:ascii="宋体" w:hAnsi="宋体" w:cs="Arial" w:hint="eastAsia"/>
          <w:snapToGrid w:val="0"/>
          <w:kern w:val="0"/>
          <w:sz w:val="24"/>
        </w:rPr>
        <w:t>股权登记日与会议日期之间的间隔应当不多于7个工作日。股权登记日一旦</w:t>
      </w:r>
      <w:r>
        <w:rPr>
          <w:rFonts w:ascii="宋体" w:hAnsi="宋体" w:cs="Arial" w:hint="eastAsia"/>
          <w:snapToGrid w:val="0"/>
          <w:kern w:val="0"/>
          <w:sz w:val="24"/>
        </w:rPr>
        <w:lastRenderedPageBreak/>
        <w:t>确认，不得变更。</w:t>
      </w:r>
    </w:p>
    <w:bookmarkEnd w:id="45"/>
    <w:p w14:paraId="4549C301" w14:textId="474FAE7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股东会拟讨论董事选举事项的，股东会通知中将充分披露董事候选人的详细资料，至少包括以下内容：</w:t>
      </w:r>
    </w:p>
    <w:p w14:paraId="39CAD85D" w14:textId="77777777" w:rsidR="005A4DB3" w:rsidRDefault="00F11E53">
      <w:pPr>
        <w:numPr>
          <w:ilvl w:val="0"/>
          <w:numId w:val="5"/>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教育背景、工作经历、兼职等个人情况；</w:t>
      </w:r>
    </w:p>
    <w:p w14:paraId="35DB4599" w14:textId="1B5C7C2A" w:rsidR="005A4DB3" w:rsidRDefault="00F11E53">
      <w:pPr>
        <w:numPr>
          <w:ilvl w:val="0"/>
          <w:numId w:val="5"/>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与本公司</w:t>
      </w:r>
      <w:r w:rsidR="00AC0269">
        <w:rPr>
          <w:rFonts w:ascii="宋体" w:hAnsi="宋体" w:cs="Arial" w:hint="eastAsia"/>
          <w:snapToGrid w:val="0"/>
          <w:kern w:val="0"/>
          <w:sz w:val="24"/>
        </w:rPr>
        <w:t>或者</w:t>
      </w:r>
      <w:r>
        <w:rPr>
          <w:rFonts w:ascii="宋体" w:hAnsi="宋体" w:cs="Arial" w:hint="eastAsia"/>
          <w:snapToGrid w:val="0"/>
          <w:kern w:val="0"/>
          <w:sz w:val="24"/>
        </w:rPr>
        <w:t>本公司的控股股东及实际控制人是否存在关联关系；</w:t>
      </w:r>
    </w:p>
    <w:p w14:paraId="3809C1F2" w14:textId="6D7C721F" w:rsidR="005A4DB3" w:rsidRDefault="00F11E53">
      <w:pPr>
        <w:numPr>
          <w:ilvl w:val="0"/>
          <w:numId w:val="5"/>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披露持有公司股份数量；</w:t>
      </w:r>
    </w:p>
    <w:p w14:paraId="69621FB4" w14:textId="77777777" w:rsidR="005A4DB3" w:rsidRDefault="00F11E53">
      <w:pPr>
        <w:numPr>
          <w:ilvl w:val="0"/>
          <w:numId w:val="5"/>
        </w:num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是否受过中国证监会以及其他有关部门的处罚和证券交易所惩戒。</w:t>
      </w:r>
    </w:p>
    <w:p w14:paraId="74671E78" w14:textId="07C6D3B0"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除采取累积投票制选举董事外，每位董事候选人应当以单项提案提出。</w:t>
      </w:r>
    </w:p>
    <w:p w14:paraId="3308D8E1" w14:textId="59F5AE9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发出股东会通知后，无正当理由，股东会不应延期或取消，股东会通知中列明的提案不应取消。一旦出现延期或取消的情形，召集人应当在原定召开日前至少</w:t>
      </w:r>
      <w:r>
        <w:rPr>
          <w:rFonts w:ascii="宋体" w:hAnsi="宋体" w:cs="Arial" w:hint="eastAsia"/>
          <w:snapToGrid w:val="0"/>
          <w:kern w:val="0"/>
          <w:sz w:val="24"/>
        </w:rPr>
        <w:t>2</w:t>
      </w:r>
      <w:r>
        <w:rPr>
          <w:rFonts w:ascii="宋体" w:hAnsi="宋体" w:cs="Arial"/>
          <w:snapToGrid w:val="0"/>
          <w:kern w:val="0"/>
          <w:sz w:val="24"/>
        </w:rPr>
        <w:t>个工作日通知并说明原因。</w:t>
      </w:r>
    </w:p>
    <w:p w14:paraId="7575102B" w14:textId="6B88B834" w:rsidR="005A4DB3" w:rsidRDefault="00F11E53">
      <w:pPr>
        <w:pStyle w:val="2"/>
        <w:spacing w:beforeLines="50" w:before="156" w:afterLines="50" w:after="156" w:line="360" w:lineRule="auto"/>
        <w:rPr>
          <w:snapToGrid w:val="0"/>
          <w:kern w:val="0"/>
        </w:rPr>
      </w:pPr>
      <w:bookmarkStart w:id="46" w:name="_Toc414213716"/>
      <w:bookmarkStart w:id="47" w:name="_Toc495415946"/>
      <w:bookmarkStart w:id="48" w:name="_Toc212813225"/>
      <w:r>
        <w:rPr>
          <w:snapToGrid w:val="0"/>
          <w:kern w:val="0"/>
        </w:rPr>
        <w:t>第</w:t>
      </w:r>
      <w:r>
        <w:rPr>
          <w:rFonts w:hint="eastAsia"/>
          <w:snapToGrid w:val="0"/>
          <w:kern w:val="0"/>
        </w:rPr>
        <w:t>六</w:t>
      </w:r>
      <w:r>
        <w:rPr>
          <w:snapToGrid w:val="0"/>
          <w:kern w:val="0"/>
        </w:rPr>
        <w:t>节</w:t>
      </w:r>
      <w:r>
        <w:rPr>
          <w:snapToGrid w:val="0"/>
          <w:kern w:val="0"/>
        </w:rPr>
        <w:t xml:space="preserve"> </w:t>
      </w:r>
      <w:r>
        <w:rPr>
          <w:snapToGrid w:val="0"/>
          <w:kern w:val="0"/>
        </w:rPr>
        <w:t>股东会的召开</w:t>
      </w:r>
      <w:bookmarkEnd w:id="46"/>
      <w:bookmarkEnd w:id="47"/>
      <w:bookmarkEnd w:id="48"/>
    </w:p>
    <w:p w14:paraId="26FA390F" w14:textId="5C7054F8"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本公司董事会和其他召集人将采取必要措施，保证股东会的正常秩序。对于干扰股东会、寻衅滋事和侵犯股东合法权益的行为，将采取措施加以制止并及时报告有关部门查处。</w:t>
      </w:r>
    </w:p>
    <w:p w14:paraId="686BBC9A" w14:textId="5C7890C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股权登记日登记在册的所有</w:t>
      </w:r>
      <w:r>
        <w:rPr>
          <w:rFonts w:ascii="宋体" w:hAnsi="宋体" w:cs="Arial" w:hint="eastAsia"/>
          <w:snapToGrid w:val="0"/>
          <w:kern w:val="0"/>
          <w:sz w:val="24"/>
        </w:rPr>
        <w:t>普通股</w:t>
      </w:r>
      <w:r>
        <w:rPr>
          <w:rFonts w:ascii="宋体" w:hAnsi="宋体" w:cs="Arial"/>
          <w:snapToGrid w:val="0"/>
          <w:kern w:val="0"/>
          <w:sz w:val="24"/>
        </w:rPr>
        <w:t>股东</w:t>
      </w:r>
      <w:r>
        <w:rPr>
          <w:rFonts w:ascii="宋体" w:hAnsi="宋体" w:cs="Arial" w:hint="eastAsia"/>
          <w:snapToGrid w:val="0"/>
          <w:kern w:val="0"/>
          <w:sz w:val="24"/>
        </w:rPr>
        <w:t>（含</w:t>
      </w:r>
      <w:r>
        <w:rPr>
          <w:rFonts w:ascii="宋体" w:hAnsi="宋体" w:cs="Arial"/>
          <w:snapToGrid w:val="0"/>
          <w:kern w:val="0"/>
          <w:sz w:val="24"/>
        </w:rPr>
        <w:t>表决权</w:t>
      </w:r>
      <w:r>
        <w:rPr>
          <w:rFonts w:ascii="宋体" w:hAnsi="宋体" w:cs="Arial" w:hint="eastAsia"/>
          <w:snapToGrid w:val="0"/>
          <w:kern w:val="0"/>
          <w:sz w:val="24"/>
        </w:rPr>
        <w:t>恢复</w:t>
      </w:r>
      <w:r>
        <w:rPr>
          <w:rFonts w:ascii="宋体" w:hAnsi="宋体" w:cs="Arial"/>
          <w:snapToGrid w:val="0"/>
          <w:kern w:val="0"/>
          <w:sz w:val="24"/>
        </w:rPr>
        <w:t>的</w:t>
      </w:r>
      <w:r>
        <w:rPr>
          <w:rFonts w:ascii="宋体" w:hAnsi="宋体" w:cs="Arial" w:hint="eastAsia"/>
          <w:snapToGrid w:val="0"/>
          <w:kern w:val="0"/>
          <w:sz w:val="24"/>
        </w:rPr>
        <w:t>优先股股东）</w:t>
      </w:r>
      <w:r>
        <w:rPr>
          <w:rFonts w:ascii="宋体" w:hAnsi="宋体" w:cs="Arial"/>
          <w:snapToGrid w:val="0"/>
          <w:kern w:val="0"/>
          <w:sz w:val="24"/>
        </w:rPr>
        <w:t>或其代理人，均有权出席股东会，并依照有关法律、法规及本章程行使表决权。</w:t>
      </w:r>
    </w:p>
    <w:p w14:paraId="082F5D14" w14:textId="1856DE3D"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股东可以亲自出席股东会，也可以委托代理人代为出席和表决。</w:t>
      </w:r>
    </w:p>
    <w:p w14:paraId="1C1288C8" w14:textId="11E4933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个人股东亲自出席会议的，应出示本人身份证或其他能够表明其身份的有效证件或证明；代理他人出席会议的，代理人应出示本人有效身份证件、股东授权委托书。</w:t>
      </w:r>
    </w:p>
    <w:p w14:paraId="0E162332" w14:textId="08EFB75D"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法人股东应由法定代表人或者法定代表人委托的代理人出席会议。法定代表人出席会议的，应出示本人身份证、能证明其具有法定代表人资格的有效证明；代理人出席会议的，代理人应出示本人身份证、法人股东单位法定代表人依法出</w:t>
      </w:r>
      <w:r>
        <w:rPr>
          <w:rFonts w:ascii="宋体" w:hAnsi="宋体" w:cs="Arial"/>
          <w:snapToGrid w:val="0"/>
          <w:kern w:val="0"/>
          <w:sz w:val="24"/>
        </w:rPr>
        <w:lastRenderedPageBreak/>
        <w:t>具的书面授权委托书。</w:t>
      </w:r>
    </w:p>
    <w:p w14:paraId="0250F408" w14:textId="6F5A283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股东出具的委托他人出席股东会的授权委托书应当载明下列内容：</w:t>
      </w:r>
    </w:p>
    <w:p w14:paraId="76AE9997" w14:textId="797FCA02"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（一）</w:t>
      </w:r>
      <w:r>
        <w:rPr>
          <w:rFonts w:ascii="宋体" w:hAnsi="宋体" w:cs="Arial" w:hint="eastAsia"/>
          <w:snapToGrid w:val="0"/>
          <w:kern w:val="0"/>
          <w:sz w:val="24"/>
        </w:rPr>
        <w:t>委托人姓名或者名称、持有公司股份的类别和数量</w:t>
      </w:r>
      <w:r>
        <w:rPr>
          <w:rFonts w:ascii="宋体" w:hAnsi="宋体" w:cs="Arial"/>
          <w:snapToGrid w:val="0"/>
          <w:kern w:val="0"/>
          <w:sz w:val="24"/>
        </w:rPr>
        <w:t>；</w:t>
      </w:r>
    </w:p>
    <w:p w14:paraId="7BFD9CA0" w14:textId="5CCD264F"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（二）</w:t>
      </w:r>
      <w:r>
        <w:rPr>
          <w:rFonts w:ascii="宋体" w:hAnsi="宋体" w:cs="Arial" w:hint="eastAsia"/>
          <w:snapToGrid w:val="0"/>
          <w:kern w:val="0"/>
          <w:sz w:val="24"/>
        </w:rPr>
        <w:t>代理人姓名或者名称</w:t>
      </w:r>
      <w:r>
        <w:rPr>
          <w:rFonts w:ascii="宋体" w:hAnsi="宋体" w:cs="Arial"/>
          <w:snapToGrid w:val="0"/>
          <w:kern w:val="0"/>
          <w:sz w:val="24"/>
        </w:rPr>
        <w:t>；</w:t>
      </w:r>
    </w:p>
    <w:p w14:paraId="4B6E90F9" w14:textId="4B00D2CB"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（三）</w:t>
      </w:r>
      <w:r>
        <w:rPr>
          <w:rFonts w:ascii="宋体" w:hAnsi="宋体" w:cs="Arial" w:hint="eastAsia"/>
          <w:snapToGrid w:val="0"/>
          <w:kern w:val="0"/>
          <w:sz w:val="24"/>
        </w:rPr>
        <w:t>股东的具体指示，包括</w:t>
      </w:r>
      <w:r>
        <w:rPr>
          <w:rFonts w:ascii="宋体" w:hAnsi="宋体" w:cs="Arial"/>
          <w:snapToGrid w:val="0"/>
          <w:kern w:val="0"/>
          <w:sz w:val="24"/>
        </w:rPr>
        <w:t>对列入股东会议程的每一审议事项投赞成、反对或弃权票的指示；</w:t>
      </w:r>
    </w:p>
    <w:p w14:paraId="6BBC7B31"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（四）委托书签发日期和有效期限；</w:t>
      </w:r>
    </w:p>
    <w:p w14:paraId="38CF05BB"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（五）委托人签名（或盖章）。委托人为法人股东的，应加盖法人单位印章。</w:t>
      </w:r>
    </w:p>
    <w:p w14:paraId="34A48143" w14:textId="06CD544B"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代理投票授权委托书由委托人授权他人签署的，授权签署</w:t>
      </w:r>
      <w:r>
        <w:rPr>
          <w:rFonts w:hint="eastAsia"/>
          <w:sz w:val="24"/>
          <w:szCs w:val="24"/>
        </w:rPr>
        <w:t>的授权书或者其他授权文件应当经过公证。</w:t>
      </w:r>
      <w:r>
        <w:rPr>
          <w:rFonts w:hint="eastAsia"/>
          <w:sz w:val="24"/>
          <w:szCs w:val="24"/>
        </w:rPr>
        <w:t xml:space="preserve"> </w:t>
      </w:r>
      <w:r>
        <w:rPr>
          <w:rFonts w:hint="eastAsia"/>
          <w:sz w:val="24"/>
          <w:szCs w:val="24"/>
        </w:rPr>
        <w:t>经公证的授权书或者其他授权文件，和投票代理授权委托书均需备置于公司住所（</w:t>
      </w:r>
      <w:r w:rsidR="00793C1B">
        <w:rPr>
          <w:rFonts w:hint="eastAsia"/>
          <w:sz w:val="24"/>
          <w:szCs w:val="24"/>
        </w:rPr>
        <w:t>证券事务部</w:t>
      </w:r>
      <w:r w:rsidR="00B1274F">
        <w:rPr>
          <w:rFonts w:hint="eastAsia"/>
          <w:sz w:val="24"/>
          <w:szCs w:val="24"/>
        </w:rPr>
        <w:t>门</w:t>
      </w:r>
      <w:r>
        <w:rPr>
          <w:rFonts w:hint="eastAsia"/>
          <w:sz w:val="24"/>
          <w:szCs w:val="24"/>
        </w:rPr>
        <w:t>）或者召集会议的通知中指定的其他地方。</w:t>
      </w:r>
    </w:p>
    <w:p w14:paraId="5BBA8063" w14:textId="62F5D9DB"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hint="eastAsia"/>
          <w:sz w:val="24"/>
          <w:szCs w:val="24"/>
        </w:rPr>
        <w:t xml:space="preserve"> </w:t>
      </w:r>
      <w:r>
        <w:rPr>
          <w:rFonts w:ascii="宋体" w:hAnsi="宋体" w:cs="Arial"/>
          <w:snapToGrid w:val="0"/>
          <w:kern w:val="0"/>
          <w:sz w:val="24"/>
        </w:rPr>
        <w:t>出席会议人员的会议登记册由公司负责制作。会议登记册载明参加会议人员姓名（或单位名称）、</w:t>
      </w:r>
      <w:r>
        <w:rPr>
          <w:rFonts w:ascii="宋体" w:hAnsi="宋体" w:cs="Arial" w:hint="eastAsia"/>
          <w:snapToGrid w:val="0"/>
          <w:kern w:val="0"/>
          <w:sz w:val="24"/>
        </w:rPr>
        <w:t>身份证号码、持有或者代表有表决权的股份数额、被代理人姓名（或单位名称）等事项。</w:t>
      </w:r>
    </w:p>
    <w:p w14:paraId="1CDC3E0B"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召集人</w:t>
      </w:r>
      <w:bookmarkStart w:id="49" w:name="_Hlk203405037"/>
      <w:r>
        <w:rPr>
          <w:rFonts w:ascii="宋体" w:hAnsi="宋体" w:cs="Arial" w:hint="eastAsia"/>
          <w:snapToGrid w:val="0"/>
          <w:kern w:val="0"/>
          <w:sz w:val="24"/>
        </w:rPr>
        <w:t>和公司聘请的律师将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bookmarkEnd w:id="49"/>
    </w:p>
    <w:p w14:paraId="4844EAF0" w14:textId="497A2D38"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股东会要求董事、高级管理人员列席会议的，</w:t>
      </w:r>
      <w:bookmarkStart w:id="50" w:name="_Hlk203405068"/>
      <w:r>
        <w:rPr>
          <w:rFonts w:ascii="宋体" w:hAnsi="宋体" w:cs="Arial" w:hint="eastAsia"/>
          <w:snapToGrid w:val="0"/>
          <w:kern w:val="0"/>
          <w:sz w:val="24"/>
        </w:rPr>
        <w:t>董事、高级管理人员应当列席并接受股东的质询</w:t>
      </w:r>
      <w:bookmarkEnd w:id="50"/>
      <w:r>
        <w:rPr>
          <w:rFonts w:ascii="宋体" w:hAnsi="宋体" w:cs="Arial" w:hint="eastAsia"/>
          <w:snapToGrid w:val="0"/>
          <w:kern w:val="0"/>
          <w:sz w:val="24"/>
        </w:rPr>
        <w:t>。</w:t>
      </w:r>
    </w:p>
    <w:p w14:paraId="16F5C2D8" w14:textId="1D0CAF2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hint="eastAsia"/>
          <w:snapToGrid w:val="0"/>
          <w:kern w:val="0"/>
          <w:sz w:val="24"/>
        </w:rPr>
        <w:t xml:space="preserve"> </w:t>
      </w:r>
      <w:r>
        <w:rPr>
          <w:rFonts w:ascii="宋体" w:hAnsi="宋体" w:cs="Arial" w:hint="eastAsia"/>
          <w:snapToGrid w:val="0"/>
          <w:kern w:val="0"/>
          <w:sz w:val="24"/>
        </w:rPr>
        <w:t>股东会由董事长主持。董事长不能履行职务或不履行职务时，由副董事长主持，副董事长不能履行职务或者不履行职务时，由半数以上董事共同推举的一名董事主持。</w:t>
      </w:r>
    </w:p>
    <w:p w14:paraId="6D40A126" w14:textId="7E610EB5"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审计委员会自行召集的股东会，由</w:t>
      </w:r>
      <w:bookmarkStart w:id="51" w:name="_Hlk203405095"/>
      <w:r>
        <w:rPr>
          <w:rFonts w:ascii="宋体" w:hAnsi="宋体" w:cs="Arial" w:hint="eastAsia"/>
          <w:snapToGrid w:val="0"/>
          <w:kern w:val="0"/>
          <w:sz w:val="24"/>
        </w:rPr>
        <w:t>审计委员会召集人</w:t>
      </w:r>
      <w:bookmarkEnd w:id="51"/>
      <w:r>
        <w:rPr>
          <w:rFonts w:ascii="宋体" w:hAnsi="宋体" w:cs="Arial" w:hint="eastAsia"/>
          <w:snapToGrid w:val="0"/>
          <w:kern w:val="0"/>
          <w:sz w:val="24"/>
        </w:rPr>
        <w:t>主持。审计委员会召集</w:t>
      </w:r>
      <w:r>
        <w:rPr>
          <w:rFonts w:ascii="宋体" w:hAnsi="宋体" w:cs="Arial" w:hint="eastAsia"/>
          <w:snapToGrid w:val="0"/>
          <w:kern w:val="0"/>
          <w:sz w:val="24"/>
        </w:rPr>
        <w:lastRenderedPageBreak/>
        <w:t>人不能履行职务或不履行职务时，由过半数的审计委员会成员共同推举的一名审计委员会成员主持。</w:t>
      </w:r>
    </w:p>
    <w:p w14:paraId="63730FFC" w14:textId="6C7E2D6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股东自行召集的股东会，由召集人推举代表主持。</w:t>
      </w:r>
    </w:p>
    <w:p w14:paraId="50392703" w14:textId="2A26C0BF"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召开股东会时，会议主持人违反议事规则使股东会无法继续进行的，经现场出席股东会有表决权过半数的股东同意，股东会可推举一人担任会议主持人，继续开会。</w:t>
      </w:r>
    </w:p>
    <w:p w14:paraId="3B9A9095" w14:textId="603B813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hint="eastAsia"/>
          <w:snapToGrid w:val="0"/>
          <w:kern w:val="0"/>
          <w:sz w:val="24"/>
        </w:rPr>
        <w:t xml:space="preserve"> </w:t>
      </w:r>
      <w:r>
        <w:rPr>
          <w:rFonts w:ascii="宋体" w:hAnsi="宋体" w:cs="Arial"/>
          <w:snapToGrid w:val="0"/>
          <w:kern w:val="0"/>
          <w:sz w:val="24"/>
        </w:rPr>
        <w:t>公司制定股东会议事规则，详细规定股东会的</w:t>
      </w:r>
      <w:r>
        <w:rPr>
          <w:rFonts w:ascii="宋体" w:hAnsi="宋体" w:cs="Arial" w:hint="eastAsia"/>
          <w:snapToGrid w:val="0"/>
          <w:kern w:val="0"/>
          <w:sz w:val="24"/>
        </w:rPr>
        <w:t>召集、</w:t>
      </w:r>
      <w:r>
        <w:rPr>
          <w:rFonts w:ascii="宋体" w:hAnsi="宋体" w:cs="Arial"/>
          <w:snapToGrid w:val="0"/>
          <w:kern w:val="0"/>
          <w:sz w:val="24"/>
        </w:rPr>
        <w:t>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r>
        <w:rPr>
          <w:rFonts w:ascii="宋体" w:hAnsi="宋体" w:cs="Arial" w:hint="eastAsia"/>
          <w:snapToGrid w:val="0"/>
          <w:kern w:val="0"/>
          <w:sz w:val="24"/>
        </w:rPr>
        <w:t>。</w:t>
      </w:r>
    </w:p>
    <w:p w14:paraId="33A96C96" w14:textId="1181D17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在年度股东会上，董事会应当就其过去一年的工作向股东会</w:t>
      </w:r>
      <w:proofErr w:type="gramStart"/>
      <w:r>
        <w:rPr>
          <w:rFonts w:ascii="宋体" w:hAnsi="宋体" w:cs="Arial"/>
          <w:snapToGrid w:val="0"/>
          <w:kern w:val="0"/>
          <w:sz w:val="24"/>
        </w:rPr>
        <w:t>作出</w:t>
      </w:r>
      <w:proofErr w:type="gramEnd"/>
      <w:r>
        <w:rPr>
          <w:rFonts w:ascii="宋体" w:hAnsi="宋体" w:cs="Arial"/>
          <w:snapToGrid w:val="0"/>
          <w:kern w:val="0"/>
          <w:sz w:val="24"/>
        </w:rPr>
        <w:t>报告。每名独立董事也应</w:t>
      </w:r>
      <w:proofErr w:type="gramStart"/>
      <w:r>
        <w:rPr>
          <w:rFonts w:ascii="宋体" w:hAnsi="宋体" w:cs="Arial"/>
          <w:snapToGrid w:val="0"/>
          <w:kern w:val="0"/>
          <w:sz w:val="24"/>
        </w:rPr>
        <w:t>作出</w:t>
      </w:r>
      <w:proofErr w:type="gramEnd"/>
      <w:r>
        <w:rPr>
          <w:rFonts w:ascii="宋体" w:hAnsi="宋体" w:cs="Arial"/>
          <w:snapToGrid w:val="0"/>
          <w:kern w:val="0"/>
          <w:sz w:val="24"/>
        </w:rPr>
        <w:t>述职报告。</w:t>
      </w:r>
    </w:p>
    <w:p w14:paraId="05B782C6" w14:textId="0DC172A8"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董事、高级管理人员在股东会上就股东的质询和建议</w:t>
      </w:r>
      <w:proofErr w:type="gramStart"/>
      <w:r>
        <w:rPr>
          <w:rFonts w:ascii="宋体" w:hAnsi="宋体" w:cs="Arial"/>
          <w:snapToGrid w:val="0"/>
          <w:kern w:val="0"/>
          <w:sz w:val="24"/>
        </w:rPr>
        <w:t>作出</w:t>
      </w:r>
      <w:proofErr w:type="gramEnd"/>
      <w:r>
        <w:rPr>
          <w:rFonts w:ascii="宋体" w:hAnsi="宋体" w:cs="Arial"/>
          <w:snapToGrid w:val="0"/>
          <w:kern w:val="0"/>
          <w:sz w:val="24"/>
        </w:rPr>
        <w:t>解释和说明。</w:t>
      </w:r>
    </w:p>
    <w:p w14:paraId="6C2095F5"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会议主持人应当在表决前宣布现场出席会议的股东和代理人人数及所持有表决权的股份总数，现场出席会议的股东和代理人人数及所持有表决权的股份总数以会议登记为准。</w:t>
      </w:r>
    </w:p>
    <w:p w14:paraId="3925C267" w14:textId="515844F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股东会应有会议记录，由董事会秘书负责。会议记录记载以下内容</w:t>
      </w:r>
      <w:r>
        <w:rPr>
          <w:rFonts w:ascii="宋体" w:hAnsi="宋体" w:cs="Arial" w:hint="eastAsia"/>
          <w:snapToGrid w:val="0"/>
          <w:kern w:val="0"/>
          <w:sz w:val="24"/>
        </w:rPr>
        <w:t>：</w:t>
      </w:r>
    </w:p>
    <w:p w14:paraId="789FC08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kern w:val="0"/>
          <w:sz w:val="24"/>
        </w:rPr>
        <w:t>（一）会议时间、地点、议程和召集人姓名或名称；</w:t>
      </w:r>
    </w:p>
    <w:p w14:paraId="23AB114E" w14:textId="425A7878" w:rsidR="005A4DB3" w:rsidRDefault="00F11E53">
      <w:pPr>
        <w:widowControl/>
        <w:adjustRightInd w:val="0"/>
        <w:snapToGrid w:val="0"/>
        <w:spacing w:beforeLines="50" w:before="156" w:afterLines="50" w:after="156" w:line="360" w:lineRule="auto"/>
        <w:ind w:firstLineChars="200" w:firstLine="480"/>
        <w:jc w:val="left"/>
        <w:rPr>
          <w:rFonts w:ascii="宋体" w:hAnsi="宋体" w:cs="Arial" w:hint="eastAsia"/>
          <w:kern w:val="0"/>
          <w:sz w:val="24"/>
        </w:rPr>
      </w:pPr>
      <w:r>
        <w:rPr>
          <w:rFonts w:ascii="宋体" w:hAnsi="宋体" w:cs="Arial"/>
          <w:kern w:val="0"/>
          <w:sz w:val="24"/>
        </w:rPr>
        <w:t>（二）会议主持人以及出席或列席会议的董事、高级管理人员姓名；</w:t>
      </w:r>
    </w:p>
    <w:p w14:paraId="74C3B1C7" w14:textId="77777777" w:rsidR="005A4DB3" w:rsidRDefault="00F11E53">
      <w:pPr>
        <w:widowControl/>
        <w:adjustRightInd w:val="0"/>
        <w:snapToGrid w:val="0"/>
        <w:spacing w:beforeLines="50" w:before="156" w:afterLines="50" w:after="156" w:line="360" w:lineRule="auto"/>
        <w:ind w:firstLineChars="200" w:firstLine="480"/>
        <w:jc w:val="left"/>
        <w:rPr>
          <w:rFonts w:ascii="宋体" w:hAnsi="宋体" w:cs="Arial" w:hint="eastAsia"/>
          <w:kern w:val="0"/>
          <w:sz w:val="24"/>
        </w:rPr>
      </w:pPr>
      <w:r>
        <w:rPr>
          <w:rFonts w:ascii="宋体" w:hAnsi="宋体" w:cs="Arial"/>
          <w:kern w:val="0"/>
          <w:sz w:val="24"/>
        </w:rPr>
        <w:t>（三）出席会议的股东和代理人人数、所持有表决权的股份总数及占公司股份总数的比例；</w:t>
      </w:r>
    </w:p>
    <w:p w14:paraId="12881456" w14:textId="77777777" w:rsidR="005A4DB3" w:rsidRDefault="00F11E53">
      <w:pPr>
        <w:widowControl/>
        <w:adjustRightInd w:val="0"/>
        <w:snapToGrid w:val="0"/>
        <w:spacing w:beforeLines="50" w:before="156" w:afterLines="50" w:after="156" w:line="360" w:lineRule="auto"/>
        <w:ind w:firstLineChars="200" w:firstLine="480"/>
        <w:jc w:val="left"/>
        <w:rPr>
          <w:rFonts w:ascii="宋体" w:hAnsi="宋体" w:cs="Arial" w:hint="eastAsia"/>
          <w:kern w:val="0"/>
          <w:sz w:val="24"/>
        </w:rPr>
      </w:pPr>
      <w:r>
        <w:rPr>
          <w:rFonts w:ascii="宋体" w:hAnsi="宋体" w:cs="Arial"/>
          <w:kern w:val="0"/>
          <w:sz w:val="24"/>
        </w:rPr>
        <w:t>（四）对每一提案的审议经过、发言要点和表决结果；</w:t>
      </w:r>
    </w:p>
    <w:p w14:paraId="0980D03B" w14:textId="77777777" w:rsidR="005A4DB3" w:rsidRDefault="00F11E53">
      <w:pPr>
        <w:widowControl/>
        <w:adjustRightInd w:val="0"/>
        <w:snapToGrid w:val="0"/>
        <w:spacing w:beforeLines="50" w:before="156" w:afterLines="50" w:after="156" w:line="360" w:lineRule="auto"/>
        <w:ind w:firstLineChars="200" w:firstLine="480"/>
        <w:jc w:val="left"/>
        <w:rPr>
          <w:rFonts w:ascii="宋体" w:hAnsi="宋体" w:cs="Arial" w:hint="eastAsia"/>
          <w:kern w:val="0"/>
          <w:sz w:val="24"/>
        </w:rPr>
      </w:pPr>
      <w:r>
        <w:rPr>
          <w:rFonts w:ascii="宋体" w:hAnsi="宋体" w:cs="Arial"/>
          <w:kern w:val="0"/>
          <w:sz w:val="24"/>
        </w:rPr>
        <w:t>（五）股东的质询意见或建议以及相应的答复或说明；</w:t>
      </w:r>
    </w:p>
    <w:p w14:paraId="2DC1289F" w14:textId="77777777" w:rsidR="005A4DB3" w:rsidRDefault="00F11E53">
      <w:pPr>
        <w:widowControl/>
        <w:adjustRightInd w:val="0"/>
        <w:snapToGrid w:val="0"/>
        <w:spacing w:beforeLines="50" w:before="156" w:afterLines="50" w:after="156" w:line="360" w:lineRule="auto"/>
        <w:ind w:firstLineChars="200" w:firstLine="480"/>
        <w:jc w:val="left"/>
        <w:rPr>
          <w:rFonts w:ascii="宋体" w:hAnsi="宋体" w:cs="Arial" w:hint="eastAsia"/>
          <w:kern w:val="0"/>
          <w:sz w:val="24"/>
        </w:rPr>
      </w:pPr>
      <w:r>
        <w:rPr>
          <w:rFonts w:ascii="宋体" w:hAnsi="宋体" w:cs="Arial"/>
          <w:kern w:val="0"/>
          <w:sz w:val="24"/>
        </w:rPr>
        <w:lastRenderedPageBreak/>
        <w:t>（六）</w:t>
      </w:r>
      <w:r>
        <w:rPr>
          <w:rFonts w:ascii="宋体" w:hAnsi="宋体" w:cs="Arial" w:hint="eastAsia"/>
          <w:kern w:val="0"/>
          <w:sz w:val="24"/>
        </w:rPr>
        <w:t>律师及</w:t>
      </w:r>
      <w:r>
        <w:rPr>
          <w:rFonts w:ascii="宋体" w:hAnsi="宋体" w:cs="Arial"/>
          <w:kern w:val="0"/>
          <w:sz w:val="24"/>
        </w:rPr>
        <w:t>计票人、监票人姓名；</w:t>
      </w:r>
    </w:p>
    <w:p w14:paraId="664036A6" w14:textId="77777777" w:rsidR="005A4DB3" w:rsidRDefault="00F11E53">
      <w:pPr>
        <w:widowControl/>
        <w:adjustRightInd w:val="0"/>
        <w:snapToGrid w:val="0"/>
        <w:spacing w:beforeLines="50" w:before="156" w:afterLines="50" w:after="156" w:line="360" w:lineRule="auto"/>
        <w:ind w:firstLineChars="200" w:firstLine="480"/>
        <w:jc w:val="left"/>
        <w:rPr>
          <w:rFonts w:ascii="宋体" w:hAnsi="宋体" w:cs="Arial" w:hint="eastAsia"/>
          <w:kern w:val="0"/>
          <w:sz w:val="24"/>
        </w:rPr>
      </w:pPr>
      <w:r>
        <w:rPr>
          <w:rFonts w:ascii="宋体" w:hAnsi="宋体" w:cs="Arial"/>
          <w:kern w:val="0"/>
          <w:sz w:val="24"/>
        </w:rPr>
        <w:t>（七）本章程规定应当载入会议记录的其他内容。</w:t>
      </w:r>
    </w:p>
    <w:p w14:paraId="487D64CE" w14:textId="23CC6B0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召集人应当保证会议记录内容真实、准确和完整。出席</w:t>
      </w:r>
      <w:r>
        <w:rPr>
          <w:rFonts w:ascii="宋体" w:hAnsi="宋体" w:cs="Arial" w:hint="eastAsia"/>
          <w:snapToGrid w:val="0"/>
          <w:kern w:val="0"/>
          <w:sz w:val="24"/>
        </w:rPr>
        <w:t>或者列席</w:t>
      </w:r>
      <w:r>
        <w:rPr>
          <w:rFonts w:ascii="宋体" w:hAnsi="宋体" w:cs="Arial"/>
          <w:snapToGrid w:val="0"/>
          <w:kern w:val="0"/>
          <w:sz w:val="24"/>
        </w:rPr>
        <w:t>会议的董事、董事会秘书、召集人或其代表、会议主持人应当在会议记录上签名。</w:t>
      </w:r>
    </w:p>
    <w:p w14:paraId="0D911F4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z w:val="24"/>
        </w:rPr>
      </w:pPr>
      <w:r>
        <w:rPr>
          <w:rFonts w:ascii="宋体" w:hAnsi="宋体" w:cs="Arial"/>
          <w:snapToGrid w:val="0"/>
          <w:kern w:val="0"/>
          <w:sz w:val="24"/>
        </w:rPr>
        <w:t>会议记录应当与</w:t>
      </w:r>
      <w:r>
        <w:rPr>
          <w:rFonts w:ascii="宋体" w:hAnsi="宋体" w:cs="Arial" w:hint="eastAsia"/>
          <w:snapToGrid w:val="0"/>
          <w:kern w:val="0"/>
          <w:sz w:val="24"/>
        </w:rPr>
        <w:t>现场</w:t>
      </w:r>
      <w:r>
        <w:rPr>
          <w:rFonts w:ascii="宋体" w:hAnsi="宋体" w:cs="Arial"/>
          <w:snapToGrid w:val="0"/>
          <w:kern w:val="0"/>
          <w:sz w:val="24"/>
        </w:rPr>
        <w:t>出席股东的签名册及代理出席的委托书、网络及其他方式表决情况的有效资料一并保存，保存期限</w:t>
      </w:r>
      <w:r>
        <w:rPr>
          <w:rFonts w:ascii="宋体" w:hAnsi="宋体" w:cs="Arial" w:hint="eastAsia"/>
          <w:snapToGrid w:val="0"/>
          <w:kern w:val="0"/>
          <w:sz w:val="24"/>
        </w:rPr>
        <w:t>不少于十</w:t>
      </w:r>
      <w:r>
        <w:rPr>
          <w:rFonts w:ascii="宋体" w:hAnsi="宋体" w:cs="Arial"/>
          <w:snapToGrid w:val="0"/>
          <w:kern w:val="0"/>
          <w:sz w:val="24"/>
        </w:rPr>
        <w:t>年。</w:t>
      </w:r>
    </w:p>
    <w:p w14:paraId="1368FA73" w14:textId="1389436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召集人应当保证股东会连续举行，直至形成最终决议。因不可抗力等特殊原因导致股东会中止或不能</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决议的，应采取必要措施尽快恢复召开股东会或直接终止本次股东会，并及时公告。同时，召集人应向公司所在地中国证监会派出机构及证券交易所报告。</w:t>
      </w:r>
    </w:p>
    <w:p w14:paraId="3D5CCE97" w14:textId="33133359" w:rsidR="005A4DB3" w:rsidRDefault="00F11E53">
      <w:pPr>
        <w:pStyle w:val="2"/>
        <w:spacing w:beforeLines="50" w:before="156" w:afterLines="50" w:after="156" w:line="360" w:lineRule="auto"/>
        <w:rPr>
          <w:snapToGrid w:val="0"/>
          <w:kern w:val="0"/>
        </w:rPr>
      </w:pPr>
      <w:bookmarkStart w:id="52" w:name="_Toc414213717"/>
      <w:bookmarkStart w:id="53" w:name="_Toc495415947"/>
      <w:bookmarkStart w:id="54" w:name="_Toc212813226"/>
      <w:r>
        <w:rPr>
          <w:snapToGrid w:val="0"/>
          <w:kern w:val="0"/>
        </w:rPr>
        <w:t>第</w:t>
      </w:r>
      <w:r>
        <w:rPr>
          <w:rFonts w:hint="eastAsia"/>
          <w:snapToGrid w:val="0"/>
          <w:kern w:val="0"/>
        </w:rPr>
        <w:t>七</w:t>
      </w:r>
      <w:r>
        <w:rPr>
          <w:snapToGrid w:val="0"/>
          <w:kern w:val="0"/>
        </w:rPr>
        <w:t>节</w:t>
      </w:r>
      <w:r>
        <w:rPr>
          <w:snapToGrid w:val="0"/>
          <w:kern w:val="0"/>
        </w:rPr>
        <w:t xml:space="preserve"> </w:t>
      </w:r>
      <w:r>
        <w:rPr>
          <w:snapToGrid w:val="0"/>
          <w:kern w:val="0"/>
        </w:rPr>
        <w:t>股东会的表决和决议</w:t>
      </w:r>
      <w:bookmarkEnd w:id="52"/>
      <w:bookmarkEnd w:id="53"/>
      <w:bookmarkEnd w:id="54"/>
    </w:p>
    <w:p w14:paraId="2C6E5544" w14:textId="18AD2EDB"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snapToGrid w:val="0"/>
          <w:kern w:val="0"/>
          <w:sz w:val="24"/>
        </w:rPr>
        <w:t xml:space="preserve"> 股东会决议分为普通决议和特别决议。</w:t>
      </w:r>
    </w:p>
    <w:p w14:paraId="1FC9E673" w14:textId="15F79672"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股东会</w:t>
      </w:r>
      <w:proofErr w:type="gramStart"/>
      <w:r>
        <w:rPr>
          <w:rFonts w:ascii="宋体" w:hAnsi="宋体" w:cs="Arial"/>
          <w:snapToGrid w:val="0"/>
          <w:kern w:val="0"/>
          <w:sz w:val="24"/>
        </w:rPr>
        <w:t>作出</w:t>
      </w:r>
      <w:proofErr w:type="gramEnd"/>
      <w:r>
        <w:rPr>
          <w:rFonts w:ascii="宋体" w:hAnsi="宋体" w:cs="Arial"/>
          <w:snapToGrid w:val="0"/>
          <w:kern w:val="0"/>
          <w:sz w:val="24"/>
        </w:rPr>
        <w:t>普通决议，应当由出席股东会的股东所持表决权</w:t>
      </w:r>
      <w:r>
        <w:rPr>
          <w:rFonts w:ascii="宋体" w:hAnsi="宋体" w:cs="Arial" w:hint="eastAsia"/>
          <w:snapToGrid w:val="0"/>
          <w:kern w:val="0"/>
          <w:sz w:val="24"/>
        </w:rPr>
        <w:t>的过半数</w:t>
      </w:r>
      <w:r>
        <w:rPr>
          <w:rFonts w:ascii="宋体" w:hAnsi="宋体" w:cs="Arial"/>
          <w:snapToGrid w:val="0"/>
          <w:kern w:val="0"/>
          <w:sz w:val="24"/>
        </w:rPr>
        <w:t>通过。</w:t>
      </w:r>
    </w:p>
    <w:p w14:paraId="1F9A8DF7" w14:textId="5AA5B73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股东会</w:t>
      </w:r>
      <w:proofErr w:type="gramStart"/>
      <w:r>
        <w:rPr>
          <w:rFonts w:ascii="宋体" w:hAnsi="宋体" w:cs="Arial"/>
          <w:snapToGrid w:val="0"/>
          <w:kern w:val="0"/>
          <w:sz w:val="24"/>
        </w:rPr>
        <w:t>作出</w:t>
      </w:r>
      <w:proofErr w:type="gramEnd"/>
      <w:r>
        <w:rPr>
          <w:rFonts w:ascii="宋体" w:hAnsi="宋体" w:cs="Arial"/>
          <w:snapToGrid w:val="0"/>
          <w:kern w:val="0"/>
          <w:sz w:val="24"/>
        </w:rPr>
        <w:t>特别决议，应当由出席股东会的股东所持表决权的2/3以上通过。</w:t>
      </w:r>
    </w:p>
    <w:p w14:paraId="0744FB73" w14:textId="2272F461"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下列事项由股东会以普通决议通过：</w:t>
      </w:r>
    </w:p>
    <w:p w14:paraId="7C6F1F86" w14:textId="2F15EB94" w:rsidR="005A4DB3" w:rsidRDefault="00F11E53">
      <w:pPr>
        <w:adjustRightInd w:val="0"/>
        <w:snapToGrid w:val="0"/>
        <w:spacing w:beforeLines="50" w:before="156" w:afterLines="50" w:after="156" w:line="360" w:lineRule="auto"/>
        <w:ind w:firstLineChars="150" w:firstLine="360"/>
        <w:rPr>
          <w:rFonts w:ascii="宋体" w:hAnsi="宋体" w:cs="Arial" w:hint="eastAsia"/>
          <w:snapToGrid w:val="0"/>
          <w:kern w:val="0"/>
          <w:sz w:val="24"/>
        </w:rPr>
      </w:pPr>
      <w:r>
        <w:rPr>
          <w:rFonts w:ascii="宋体" w:hAnsi="宋体" w:cs="Arial"/>
          <w:snapToGrid w:val="0"/>
          <w:kern w:val="0"/>
          <w:sz w:val="24"/>
        </w:rPr>
        <w:t>（一）董事会的工作报告；</w:t>
      </w:r>
    </w:p>
    <w:p w14:paraId="4E195316" w14:textId="77777777" w:rsidR="005A4DB3" w:rsidRDefault="00F11E53">
      <w:pPr>
        <w:adjustRightInd w:val="0"/>
        <w:snapToGrid w:val="0"/>
        <w:spacing w:beforeLines="50" w:before="156" w:afterLines="50" w:after="156" w:line="360" w:lineRule="auto"/>
        <w:ind w:firstLineChars="150" w:firstLine="360"/>
        <w:rPr>
          <w:rFonts w:ascii="宋体" w:hAnsi="宋体" w:cs="Arial" w:hint="eastAsia"/>
          <w:snapToGrid w:val="0"/>
          <w:kern w:val="0"/>
          <w:sz w:val="24"/>
        </w:rPr>
      </w:pPr>
      <w:r>
        <w:rPr>
          <w:rFonts w:ascii="宋体" w:hAnsi="宋体" w:cs="Arial"/>
          <w:snapToGrid w:val="0"/>
          <w:kern w:val="0"/>
          <w:sz w:val="24"/>
        </w:rPr>
        <w:t>（二）董事会拟定的利润分配方案和弥补亏损方案；</w:t>
      </w:r>
    </w:p>
    <w:p w14:paraId="3C955320" w14:textId="76FB6B66" w:rsidR="005A4DB3" w:rsidRDefault="00F11E53">
      <w:pPr>
        <w:adjustRightInd w:val="0"/>
        <w:snapToGrid w:val="0"/>
        <w:spacing w:beforeLines="50" w:before="156" w:afterLines="50" w:after="156" w:line="360" w:lineRule="auto"/>
        <w:ind w:firstLineChars="150" w:firstLine="360"/>
        <w:rPr>
          <w:rFonts w:ascii="宋体" w:hAnsi="宋体" w:cs="Arial" w:hint="eastAsia"/>
          <w:snapToGrid w:val="0"/>
          <w:kern w:val="0"/>
          <w:sz w:val="24"/>
        </w:rPr>
      </w:pPr>
      <w:r>
        <w:rPr>
          <w:rFonts w:ascii="宋体" w:hAnsi="宋体" w:cs="Arial" w:hint="eastAsia"/>
          <w:snapToGrid w:val="0"/>
          <w:kern w:val="0"/>
          <w:sz w:val="24"/>
        </w:rPr>
        <w:t>（三）董事会成员的任免及其报酬和支付方法；</w:t>
      </w:r>
    </w:p>
    <w:p w14:paraId="0DB774CC" w14:textId="64E22A72" w:rsidR="005A4DB3" w:rsidRDefault="00F11E53">
      <w:pPr>
        <w:adjustRightInd w:val="0"/>
        <w:snapToGrid w:val="0"/>
        <w:spacing w:beforeLines="50" w:before="156" w:afterLines="50" w:after="156" w:line="360" w:lineRule="auto"/>
        <w:ind w:firstLineChars="150" w:firstLine="36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四</w:t>
      </w:r>
      <w:r>
        <w:rPr>
          <w:rFonts w:ascii="宋体" w:hAnsi="宋体" w:cs="Arial"/>
          <w:snapToGrid w:val="0"/>
          <w:kern w:val="0"/>
          <w:sz w:val="24"/>
        </w:rPr>
        <w:t>）除法律、行政法规规定或者本章程规定应当以特别决议通过以外的其他事项。</w:t>
      </w:r>
    </w:p>
    <w:p w14:paraId="52086696" w14:textId="5383358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下列事项由股东会以特别决议通过：</w:t>
      </w:r>
    </w:p>
    <w:p w14:paraId="27547657"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（一）公司增加或者减少注册资本；</w:t>
      </w:r>
    </w:p>
    <w:p w14:paraId="6E4CA605"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（二）公司的分立、</w:t>
      </w:r>
      <w:r>
        <w:rPr>
          <w:rFonts w:ascii="宋体" w:hAnsi="宋体" w:cs="Arial" w:hint="eastAsia"/>
          <w:snapToGrid w:val="0"/>
          <w:kern w:val="0"/>
          <w:sz w:val="24"/>
        </w:rPr>
        <w:t>分拆、</w:t>
      </w:r>
      <w:r>
        <w:rPr>
          <w:rFonts w:ascii="宋体" w:hAnsi="宋体" w:cs="Arial"/>
          <w:snapToGrid w:val="0"/>
          <w:kern w:val="0"/>
          <w:sz w:val="24"/>
        </w:rPr>
        <w:t>合并、解散和清算；</w:t>
      </w:r>
    </w:p>
    <w:p w14:paraId="0D89F36C"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lastRenderedPageBreak/>
        <w:t xml:space="preserve">　　（三）本章程的修改；</w:t>
      </w:r>
    </w:p>
    <w:p w14:paraId="004C3567"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color w:val="000000"/>
          <w:kern w:val="0"/>
          <w:sz w:val="24"/>
        </w:rPr>
      </w:pPr>
      <w:r>
        <w:rPr>
          <w:rFonts w:ascii="宋体" w:hAnsi="宋体" w:cs="Arial"/>
          <w:snapToGrid w:val="0"/>
          <w:color w:val="000000"/>
          <w:kern w:val="0"/>
          <w:sz w:val="24"/>
        </w:rPr>
        <w:t>（四）</w:t>
      </w:r>
      <w:r>
        <w:rPr>
          <w:rFonts w:ascii="宋体" w:hAnsi="宋体" w:cs="Arial" w:hint="eastAsia"/>
          <w:snapToGrid w:val="0"/>
          <w:color w:val="000000"/>
          <w:kern w:val="0"/>
          <w:sz w:val="24"/>
        </w:rPr>
        <w:t>公司在一年内购买、出售重大资产或者向他人提供担保的金额超过公司最近一期经审计总资产30%的；</w:t>
      </w:r>
    </w:p>
    <w:p w14:paraId="06A9689E"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color w:val="000000"/>
          <w:kern w:val="0"/>
          <w:sz w:val="24"/>
        </w:rPr>
      </w:pPr>
      <w:r>
        <w:rPr>
          <w:rFonts w:ascii="宋体" w:hAnsi="宋体" w:cs="Arial" w:hint="eastAsia"/>
          <w:snapToGrid w:val="0"/>
          <w:color w:val="000000"/>
          <w:kern w:val="0"/>
          <w:sz w:val="24"/>
        </w:rPr>
        <w:t>（五）股权激励计划；</w:t>
      </w:r>
    </w:p>
    <w:p w14:paraId="2C1F31B8" w14:textId="6BA934E9"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六</w:t>
      </w:r>
      <w:r>
        <w:rPr>
          <w:rFonts w:ascii="宋体" w:hAnsi="宋体" w:cs="Arial"/>
          <w:snapToGrid w:val="0"/>
          <w:kern w:val="0"/>
          <w:sz w:val="24"/>
        </w:rPr>
        <w:t>）法律、行政法规或本章程规定的，以及股东会以普通决议认定会对公司产生重大影响的、需要以特别决议通过的其他事项。</w:t>
      </w:r>
    </w:p>
    <w:p w14:paraId="43C32A29" w14:textId="555FC9AD"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股东以其所代表的有表决权的股份数额行使表决权，每一股份享有一票表决权</w:t>
      </w:r>
      <w:r>
        <w:rPr>
          <w:rFonts w:ascii="宋体" w:hAnsi="宋体" w:cs="Arial" w:hint="eastAsia"/>
          <w:snapToGrid w:val="0"/>
          <w:kern w:val="0"/>
          <w:sz w:val="24"/>
        </w:rPr>
        <w:t>，类别股股东除外</w:t>
      </w:r>
      <w:r>
        <w:rPr>
          <w:rFonts w:ascii="宋体" w:hAnsi="宋体" w:cs="Arial"/>
          <w:snapToGrid w:val="0"/>
          <w:kern w:val="0"/>
          <w:sz w:val="24"/>
        </w:rPr>
        <w:t>。</w:t>
      </w:r>
    </w:p>
    <w:p w14:paraId="3135310A" w14:textId="56C8D593"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股东会审议影响中小投资者利益的重大事项时，对中小投资者表决应当单独计票。单独计票结果应当及时公开披露。</w:t>
      </w:r>
    </w:p>
    <w:p w14:paraId="60A70906" w14:textId="71B65F89"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公司持有的本公司股份没有表决权，且该部分股份不计</w:t>
      </w:r>
      <w:proofErr w:type="gramStart"/>
      <w:r>
        <w:rPr>
          <w:rFonts w:ascii="宋体" w:hAnsi="宋体" w:cs="Arial"/>
          <w:snapToGrid w:val="0"/>
          <w:kern w:val="0"/>
          <w:sz w:val="24"/>
        </w:rPr>
        <w:t>入出席</w:t>
      </w:r>
      <w:proofErr w:type="gramEnd"/>
      <w:r>
        <w:rPr>
          <w:rFonts w:ascii="宋体" w:hAnsi="宋体" w:cs="Arial"/>
          <w:snapToGrid w:val="0"/>
          <w:kern w:val="0"/>
          <w:sz w:val="24"/>
        </w:rPr>
        <w:t>股东会有表决权的股份总数。</w:t>
      </w:r>
    </w:p>
    <w:p w14:paraId="03121475"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bookmarkStart w:id="55" w:name="_Hlk203405278"/>
      <w:r>
        <w:rPr>
          <w:rFonts w:ascii="宋体" w:hAnsi="宋体" w:cs="Arial" w:hint="eastAsia"/>
          <w:snapToGrid w:val="0"/>
          <w:kern w:val="0"/>
          <w:sz w:val="24"/>
        </w:rPr>
        <w:t>股东买入公司有表决权的股份违反《证券法》第六十三条第一款、第二款规定的，该超过规定比例部分的股份在买入后的三十六个月内不得行使表决权，且不计</w:t>
      </w:r>
      <w:proofErr w:type="gramStart"/>
      <w:r>
        <w:rPr>
          <w:rFonts w:ascii="宋体" w:hAnsi="宋体" w:cs="Arial" w:hint="eastAsia"/>
          <w:snapToGrid w:val="0"/>
          <w:kern w:val="0"/>
          <w:sz w:val="24"/>
        </w:rPr>
        <w:t>入出席</w:t>
      </w:r>
      <w:proofErr w:type="gramEnd"/>
      <w:r>
        <w:rPr>
          <w:rFonts w:ascii="宋体" w:hAnsi="宋体" w:cs="Arial" w:hint="eastAsia"/>
          <w:snapToGrid w:val="0"/>
          <w:kern w:val="0"/>
          <w:sz w:val="24"/>
        </w:rPr>
        <w:t>股东会有表决权的股份总数。</w:t>
      </w:r>
    </w:p>
    <w:p w14:paraId="67A787D8"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公司董事会、独立董事、持有百分之一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w:t>
      </w:r>
      <w:proofErr w:type="gramStart"/>
      <w:r>
        <w:rPr>
          <w:rFonts w:ascii="宋体" w:hAnsi="宋体" w:cs="Arial" w:hint="eastAsia"/>
          <w:snapToGrid w:val="0"/>
          <w:kern w:val="0"/>
          <w:sz w:val="24"/>
        </w:rPr>
        <w:t>定条件</w:t>
      </w:r>
      <w:proofErr w:type="gramEnd"/>
      <w:r>
        <w:rPr>
          <w:rFonts w:ascii="宋体" w:hAnsi="宋体" w:cs="Arial" w:hint="eastAsia"/>
          <w:snapToGrid w:val="0"/>
          <w:kern w:val="0"/>
          <w:sz w:val="24"/>
        </w:rPr>
        <w:t>外，公司不得对征集投票权提出最低持股比例限制。</w:t>
      </w:r>
    </w:p>
    <w:bookmarkEnd w:id="55"/>
    <w:p w14:paraId="560F3117" w14:textId="1ABDD6F1"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股东会审议有关关联交易事项时，关联股东</w:t>
      </w:r>
      <w:r>
        <w:rPr>
          <w:rFonts w:ascii="宋体" w:hAnsi="宋体" w:cs="Arial" w:hint="eastAsia"/>
          <w:snapToGrid w:val="0"/>
          <w:kern w:val="0"/>
          <w:sz w:val="24"/>
        </w:rPr>
        <w:t>不应当参与投票表决，</w:t>
      </w:r>
      <w:r>
        <w:rPr>
          <w:rFonts w:ascii="宋体" w:hAnsi="宋体" w:cs="Arial"/>
          <w:snapToGrid w:val="0"/>
          <w:kern w:val="0"/>
          <w:sz w:val="24"/>
        </w:rPr>
        <w:t>其所代表的有表决权的股份数不计</w:t>
      </w:r>
      <w:proofErr w:type="gramStart"/>
      <w:r>
        <w:rPr>
          <w:rFonts w:ascii="宋体" w:hAnsi="宋体" w:cs="Arial"/>
          <w:snapToGrid w:val="0"/>
          <w:kern w:val="0"/>
          <w:sz w:val="24"/>
        </w:rPr>
        <w:t>入有效</w:t>
      </w:r>
      <w:proofErr w:type="gramEnd"/>
      <w:r>
        <w:rPr>
          <w:rFonts w:ascii="宋体" w:hAnsi="宋体" w:cs="Arial"/>
          <w:snapToGrid w:val="0"/>
          <w:kern w:val="0"/>
          <w:sz w:val="24"/>
        </w:rPr>
        <w:t>表决总数；股东会决议的公告</w:t>
      </w:r>
      <w:r>
        <w:rPr>
          <w:rFonts w:hint="eastAsia"/>
          <w:sz w:val="24"/>
          <w:szCs w:val="24"/>
        </w:rPr>
        <w:t>应当充分披露非关联股东的表决情况。</w:t>
      </w:r>
    </w:p>
    <w:p w14:paraId="1FDB19CC" w14:textId="0C89FDD2"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bookmarkStart w:id="56" w:name="_Hlk203405309"/>
      <w:r>
        <w:rPr>
          <w:rFonts w:ascii="宋体" w:hAnsi="宋体" w:cs="Arial" w:hint="eastAsia"/>
          <w:snapToGrid w:val="0"/>
          <w:kern w:val="0"/>
          <w:sz w:val="24"/>
        </w:rPr>
        <w:t>股东会决议有关关联交易事项时，关联股东应当主动回避，不参与投票表决；关联股东未主动回避表决的，参加会议的其他股东有权要求关联股东回避表决。关联股东回避后，由其他股东根据其所持表决权进行表决，并依据本章程规定通</w:t>
      </w:r>
      <w:r>
        <w:rPr>
          <w:rFonts w:ascii="宋体" w:hAnsi="宋体" w:cs="Arial" w:hint="eastAsia"/>
          <w:snapToGrid w:val="0"/>
          <w:kern w:val="0"/>
          <w:sz w:val="24"/>
        </w:rPr>
        <w:lastRenderedPageBreak/>
        <w:t>过相应的决议；关联股东的回避和表决程序由股东会主持人通知，并载入会议记录。</w:t>
      </w:r>
    </w:p>
    <w:p w14:paraId="52F68E42" w14:textId="40A40434" w:rsidR="005A4DB3" w:rsidRDefault="00F11E53" w:rsidP="005419A2">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股东会对关联交易事项</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的决议必须经出席股东会的非关联股东所持表决权的过半数通过方为有效。但是该关联交易事项涉及本章程规定的需要以特别决议通过的事项的，股东会决议必须经出席股东会的非关联股东所持表决权的三分之二以上通过方为有效。</w:t>
      </w:r>
      <w:bookmarkEnd w:id="56"/>
    </w:p>
    <w:p w14:paraId="57BC4B33" w14:textId="35F52291"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w:t>
      </w:r>
      <w:r>
        <w:rPr>
          <w:rFonts w:ascii="宋体" w:hAnsi="宋体" w:cs="Arial"/>
          <w:snapToGrid w:val="0"/>
          <w:kern w:val="0"/>
          <w:sz w:val="24"/>
        </w:rPr>
        <w:t>应</w:t>
      </w:r>
      <w:r>
        <w:rPr>
          <w:rFonts w:ascii="宋体" w:hAnsi="宋体" w:cs="Arial" w:hint="eastAsia"/>
          <w:snapToGrid w:val="0"/>
          <w:kern w:val="0"/>
          <w:sz w:val="24"/>
        </w:rPr>
        <w:t>在</w:t>
      </w:r>
      <w:r>
        <w:rPr>
          <w:rFonts w:ascii="宋体" w:hAnsi="宋体" w:cs="Arial"/>
          <w:snapToGrid w:val="0"/>
          <w:kern w:val="0"/>
          <w:sz w:val="24"/>
        </w:rPr>
        <w:t>保证股东会合法、</w:t>
      </w:r>
      <w:r>
        <w:rPr>
          <w:rFonts w:ascii="宋体" w:hAnsi="宋体" w:cs="Arial" w:hint="eastAsia"/>
          <w:snapToGrid w:val="0"/>
          <w:kern w:val="0"/>
          <w:sz w:val="24"/>
        </w:rPr>
        <w:t>有效</w:t>
      </w:r>
      <w:r>
        <w:rPr>
          <w:rFonts w:ascii="宋体" w:hAnsi="宋体" w:cs="Arial"/>
          <w:snapToGrid w:val="0"/>
          <w:kern w:val="0"/>
          <w:sz w:val="24"/>
        </w:rPr>
        <w:t>的</w:t>
      </w:r>
      <w:r>
        <w:rPr>
          <w:rFonts w:ascii="宋体" w:hAnsi="宋体" w:cs="Arial" w:hint="eastAsia"/>
          <w:snapToGrid w:val="0"/>
          <w:kern w:val="0"/>
          <w:sz w:val="24"/>
        </w:rPr>
        <w:t>前提</w:t>
      </w:r>
      <w:r>
        <w:rPr>
          <w:rFonts w:ascii="宋体" w:hAnsi="宋体" w:cs="Arial"/>
          <w:snapToGrid w:val="0"/>
          <w:kern w:val="0"/>
          <w:sz w:val="24"/>
        </w:rPr>
        <w:t>下，通过</w:t>
      </w:r>
      <w:r>
        <w:rPr>
          <w:rFonts w:ascii="宋体" w:hAnsi="宋体" w:cs="Arial" w:hint="eastAsia"/>
          <w:snapToGrid w:val="0"/>
          <w:kern w:val="0"/>
          <w:sz w:val="24"/>
        </w:rPr>
        <w:t>各种</w:t>
      </w:r>
      <w:r>
        <w:rPr>
          <w:rFonts w:ascii="宋体" w:hAnsi="宋体" w:cs="Arial"/>
          <w:snapToGrid w:val="0"/>
          <w:kern w:val="0"/>
          <w:sz w:val="24"/>
        </w:rPr>
        <w:t>方式和途径，</w:t>
      </w:r>
      <w:r>
        <w:rPr>
          <w:rFonts w:ascii="宋体" w:hAnsi="宋体" w:cs="Arial" w:hint="eastAsia"/>
          <w:snapToGrid w:val="0"/>
          <w:kern w:val="0"/>
          <w:sz w:val="24"/>
        </w:rPr>
        <w:t>优先</w:t>
      </w:r>
      <w:r>
        <w:rPr>
          <w:rFonts w:ascii="宋体" w:hAnsi="宋体" w:cs="Arial"/>
          <w:snapToGrid w:val="0"/>
          <w:kern w:val="0"/>
          <w:sz w:val="24"/>
        </w:rPr>
        <w:t>提供网络形式的投票平台等现代信息技术</w:t>
      </w:r>
      <w:r>
        <w:rPr>
          <w:rFonts w:ascii="宋体" w:hAnsi="宋体" w:cs="Arial" w:hint="eastAsia"/>
          <w:snapToGrid w:val="0"/>
          <w:kern w:val="0"/>
          <w:sz w:val="24"/>
        </w:rPr>
        <w:t>手段</w:t>
      </w:r>
      <w:r>
        <w:rPr>
          <w:rFonts w:ascii="宋体" w:hAnsi="宋体" w:cs="Arial"/>
          <w:snapToGrid w:val="0"/>
          <w:kern w:val="0"/>
          <w:sz w:val="24"/>
        </w:rPr>
        <w:t>，</w:t>
      </w:r>
      <w:r>
        <w:rPr>
          <w:rFonts w:ascii="宋体" w:hAnsi="宋体" w:cs="Arial" w:hint="eastAsia"/>
          <w:snapToGrid w:val="0"/>
          <w:kern w:val="0"/>
          <w:sz w:val="24"/>
        </w:rPr>
        <w:t>为</w:t>
      </w:r>
      <w:r>
        <w:rPr>
          <w:rFonts w:ascii="宋体" w:hAnsi="宋体" w:cs="Arial"/>
          <w:snapToGrid w:val="0"/>
          <w:kern w:val="0"/>
          <w:sz w:val="24"/>
        </w:rPr>
        <w:t>股东</w:t>
      </w:r>
      <w:r>
        <w:rPr>
          <w:rFonts w:ascii="宋体" w:hAnsi="宋体" w:cs="Arial" w:hint="eastAsia"/>
          <w:snapToGrid w:val="0"/>
          <w:kern w:val="0"/>
          <w:sz w:val="24"/>
        </w:rPr>
        <w:t>参加股东会</w:t>
      </w:r>
      <w:r>
        <w:rPr>
          <w:rFonts w:ascii="宋体" w:hAnsi="宋体" w:cs="Arial"/>
          <w:snapToGrid w:val="0"/>
          <w:kern w:val="0"/>
          <w:sz w:val="24"/>
        </w:rPr>
        <w:t>提供便利。</w:t>
      </w:r>
    </w:p>
    <w:p w14:paraId="6D9DB978" w14:textId="4D6B18F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除公司处于危机等特殊情况外，非经股东会以特别决议批准，公司将不与董事、高级管理人员以外的人订立将公司全部或者重要业务的管理交予该人负责的合同。</w:t>
      </w:r>
    </w:p>
    <w:p w14:paraId="56E1178B" w14:textId="7B05759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董事候选人名单以提案的方式提请股东会表决。</w:t>
      </w:r>
    </w:p>
    <w:p w14:paraId="14511F8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公司董事候选人的提名采取下列方式：</w:t>
      </w:r>
    </w:p>
    <w:p w14:paraId="0732D3A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（一）公司董事会以形成决议的方式提名；</w:t>
      </w:r>
    </w:p>
    <w:p w14:paraId="43EDCF09" w14:textId="7F90ADE1"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（二）单独持有或者合并持有公司发行在外的有表决权股份总数百分之</w:t>
      </w:r>
      <w:r w:rsidR="005419A2">
        <w:rPr>
          <w:rFonts w:ascii="宋体" w:hAnsi="宋体" w:cs="Arial" w:hint="eastAsia"/>
          <w:snapToGrid w:val="0"/>
          <w:kern w:val="0"/>
          <w:sz w:val="24"/>
          <w:szCs w:val="24"/>
        </w:rPr>
        <w:t>一</w:t>
      </w:r>
      <w:r>
        <w:rPr>
          <w:rFonts w:ascii="宋体" w:hAnsi="宋体" w:cs="Arial" w:hint="eastAsia"/>
          <w:snapToGrid w:val="0"/>
          <w:kern w:val="0"/>
          <w:sz w:val="24"/>
          <w:szCs w:val="24"/>
        </w:rPr>
        <w:t>以上股东提名。</w:t>
      </w:r>
    </w:p>
    <w:p w14:paraId="152C564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独立董事候选人的提名方式和程序按照有关法律、法规和规范性文件的要求进行。</w:t>
      </w:r>
    </w:p>
    <w:p w14:paraId="6931E7AA" w14:textId="4E0AD433"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职工代表担任的董事由公司职工民主选举产生。</w:t>
      </w:r>
    </w:p>
    <w:p w14:paraId="3A916064" w14:textId="107B804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董事会应当向股东公告候选董事的简历和基本情况。</w:t>
      </w:r>
    </w:p>
    <w:p w14:paraId="762BAAED" w14:textId="592885C2"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单独或者合计持有公司</w:t>
      </w:r>
      <w:r>
        <w:rPr>
          <w:rFonts w:ascii="宋体" w:hAnsi="宋体" w:cs="Arial" w:hint="eastAsia"/>
          <w:snapToGrid w:val="0"/>
          <w:kern w:val="0"/>
          <w:sz w:val="24"/>
          <w:szCs w:val="24"/>
        </w:rPr>
        <w:t>百分之</w:t>
      </w:r>
      <w:r w:rsidR="0065148C">
        <w:rPr>
          <w:rFonts w:ascii="宋体" w:hAnsi="宋体" w:cs="Arial" w:hint="eastAsia"/>
          <w:snapToGrid w:val="0"/>
          <w:kern w:val="0"/>
          <w:sz w:val="24"/>
          <w:szCs w:val="24"/>
        </w:rPr>
        <w:t>一</w:t>
      </w:r>
      <w:r>
        <w:rPr>
          <w:rFonts w:ascii="宋体" w:hAnsi="宋体" w:cs="Arial"/>
          <w:snapToGrid w:val="0"/>
          <w:kern w:val="0"/>
          <w:sz w:val="24"/>
          <w:szCs w:val="24"/>
        </w:rPr>
        <w:t>以上股份的股东可以以提案的方式直接向股东会提出董事候选人名单，但该等提案必须在股东会召开前至少十日送达董事会，提案中董事候选人人数不得超过依据本章程规定</w:t>
      </w:r>
      <w:proofErr w:type="gramStart"/>
      <w:r>
        <w:rPr>
          <w:rFonts w:ascii="宋体" w:hAnsi="宋体" w:cs="Arial"/>
          <w:snapToGrid w:val="0"/>
          <w:kern w:val="0"/>
          <w:sz w:val="24"/>
          <w:szCs w:val="24"/>
        </w:rPr>
        <w:t>需选举</w:t>
      </w:r>
      <w:proofErr w:type="gramEnd"/>
      <w:r>
        <w:rPr>
          <w:rFonts w:ascii="宋体" w:hAnsi="宋体" w:cs="Arial"/>
          <w:snapToGrid w:val="0"/>
          <w:kern w:val="0"/>
          <w:sz w:val="24"/>
          <w:szCs w:val="24"/>
        </w:rPr>
        <w:t>产生的董事人数，并应当同时提供所提名候选人的简历和基本情况。召集人在接到上述股东的董事候选人提名后，应尽快核实被提名候选人的简历和基本情况。</w:t>
      </w:r>
    </w:p>
    <w:p w14:paraId="044934B2" w14:textId="4E7D1F03"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hint="eastAsia"/>
          <w:snapToGrid w:val="0"/>
          <w:kern w:val="0"/>
          <w:sz w:val="24"/>
          <w:szCs w:val="24"/>
        </w:rPr>
        <w:t>股东会就选举两名以上董事进行表决时，实行累积投票制。</w:t>
      </w:r>
      <w:r>
        <w:rPr>
          <w:rFonts w:ascii="宋体" w:hAnsi="宋体" w:cs="Arial"/>
          <w:snapToGrid w:val="0"/>
          <w:kern w:val="0"/>
          <w:sz w:val="24"/>
          <w:szCs w:val="24"/>
        </w:rPr>
        <w:t>累积投票制是指</w:t>
      </w:r>
      <w:r>
        <w:rPr>
          <w:rFonts w:ascii="宋体" w:hAnsi="宋体" w:cs="Arial"/>
          <w:snapToGrid w:val="0"/>
          <w:kern w:val="0"/>
          <w:sz w:val="24"/>
          <w:szCs w:val="24"/>
        </w:rPr>
        <w:lastRenderedPageBreak/>
        <w:t>股东会选举董事时，每一股份拥有与应选董事人数相同的表决权，股东拥有的表决权可以集中使用。</w:t>
      </w:r>
    </w:p>
    <w:p w14:paraId="0777480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累积投票制的操作细则如下：</w:t>
      </w:r>
    </w:p>
    <w:p w14:paraId="06136407" w14:textId="7CCD661F"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（一）股东会选举董事时，股东持有的每一股份均有与应选董事人数相同的表决权，即股东在选举董事时所拥有的全部表决票数，等于其所持有的股份数乘以应选董事人数之积。</w:t>
      </w:r>
    </w:p>
    <w:p w14:paraId="30F12375" w14:textId="3F6C7ACE"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（二）股东会对董事候选人进行表决前，大会主持人应明确告知与会股东对董事候选人议案实行累积投票方式，董事会必须制备适合实行累积投票方式的选票，董事会秘书应对累积投票方式、选票填写方法</w:t>
      </w:r>
      <w:proofErr w:type="gramStart"/>
      <w:r>
        <w:rPr>
          <w:rFonts w:ascii="宋体" w:hAnsi="宋体" w:cs="Arial"/>
          <w:snapToGrid w:val="0"/>
          <w:kern w:val="0"/>
          <w:sz w:val="24"/>
          <w:szCs w:val="24"/>
        </w:rPr>
        <w:t>作出</w:t>
      </w:r>
      <w:proofErr w:type="gramEnd"/>
      <w:r>
        <w:rPr>
          <w:rFonts w:ascii="宋体" w:hAnsi="宋体" w:cs="Arial"/>
          <w:snapToGrid w:val="0"/>
          <w:kern w:val="0"/>
          <w:sz w:val="24"/>
          <w:szCs w:val="24"/>
        </w:rPr>
        <w:t>说明和解释。</w:t>
      </w:r>
    </w:p>
    <w:p w14:paraId="2DE9FAD9" w14:textId="5DC7955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（三）股东会在选举董事时，股东可以将其拥有的表决票集中选举一人，也可以分散选举数人，但股东累计投出的票数不得超过其所享有的总表决票数。</w:t>
      </w:r>
    </w:p>
    <w:p w14:paraId="04492B48" w14:textId="2C512E88"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（四）表决完毕，由股东会监票人清点票数，并公布每个候选人的得票情况。依照董事候选人得票数</w:t>
      </w:r>
      <w:r>
        <w:rPr>
          <w:rFonts w:ascii="宋体" w:hAnsi="宋体" w:cs="Arial" w:hint="eastAsia"/>
          <w:snapToGrid w:val="0"/>
          <w:kern w:val="0"/>
          <w:sz w:val="24"/>
          <w:szCs w:val="24"/>
        </w:rPr>
        <w:t>及本章程规定</w:t>
      </w:r>
      <w:r>
        <w:rPr>
          <w:rFonts w:ascii="宋体" w:hAnsi="宋体" w:cs="Arial"/>
          <w:snapToGrid w:val="0"/>
          <w:kern w:val="0"/>
          <w:sz w:val="24"/>
          <w:szCs w:val="24"/>
        </w:rPr>
        <w:t>决定董事人选。</w:t>
      </w:r>
    </w:p>
    <w:p w14:paraId="060E1179" w14:textId="49A2393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（五）若两名以上董事候选人所得票数完全相同，且只能其中部分候选人当选时，股东会应对该几名候选人再次投票，所得票数多者当选。再次</w:t>
      </w:r>
      <w:proofErr w:type="gramStart"/>
      <w:r>
        <w:rPr>
          <w:rFonts w:ascii="宋体" w:hAnsi="宋体" w:cs="Arial"/>
          <w:snapToGrid w:val="0"/>
          <w:kern w:val="0"/>
          <w:sz w:val="24"/>
          <w:szCs w:val="24"/>
        </w:rPr>
        <w:t>投票仍</w:t>
      </w:r>
      <w:proofErr w:type="gramEnd"/>
      <w:r>
        <w:rPr>
          <w:rFonts w:ascii="宋体" w:hAnsi="宋体" w:cs="Arial"/>
          <w:snapToGrid w:val="0"/>
          <w:kern w:val="0"/>
          <w:sz w:val="24"/>
          <w:szCs w:val="24"/>
        </w:rPr>
        <w:t>不符合上述条件的，应择期另行召开股东会，重新履行提名候选人相关程序。</w:t>
      </w:r>
    </w:p>
    <w:p w14:paraId="64C0F7CB"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szCs w:val="24"/>
        </w:rPr>
      </w:pPr>
      <w:r>
        <w:rPr>
          <w:rFonts w:ascii="宋体" w:hAnsi="宋体" w:cs="Arial"/>
          <w:snapToGrid w:val="0"/>
          <w:kern w:val="0"/>
          <w:sz w:val="24"/>
          <w:szCs w:val="24"/>
        </w:rPr>
        <w:t>（</w:t>
      </w:r>
      <w:r>
        <w:rPr>
          <w:rFonts w:ascii="宋体" w:hAnsi="宋体" w:cs="Arial" w:hint="eastAsia"/>
          <w:snapToGrid w:val="0"/>
          <w:kern w:val="0"/>
          <w:sz w:val="24"/>
          <w:szCs w:val="24"/>
        </w:rPr>
        <w:t>六</w:t>
      </w:r>
      <w:r>
        <w:rPr>
          <w:rFonts w:ascii="宋体" w:hAnsi="宋体" w:cs="Arial"/>
          <w:snapToGrid w:val="0"/>
          <w:kern w:val="0"/>
          <w:sz w:val="24"/>
          <w:szCs w:val="24"/>
        </w:rPr>
        <w:t>）累积投票制的具体实施办法按照相关法律法规及规范性文件的有关规定办理。</w:t>
      </w:r>
    </w:p>
    <w:p w14:paraId="59EF005C" w14:textId="6643EED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除累积投票制外，</w:t>
      </w:r>
      <w:r>
        <w:rPr>
          <w:rFonts w:ascii="宋体" w:hAnsi="宋体" w:cs="Arial"/>
          <w:snapToGrid w:val="0"/>
          <w:kern w:val="0"/>
          <w:sz w:val="24"/>
        </w:rPr>
        <w:t>股东会将对所有提案进行逐项表决，对同一事项有不同提案的，将按提案提出的时间顺序进行表决。除因不可抗力等特殊原因导致股东会中止或不能</w:t>
      </w:r>
      <w:proofErr w:type="gramStart"/>
      <w:r>
        <w:rPr>
          <w:rFonts w:ascii="宋体" w:hAnsi="宋体" w:cs="Arial"/>
          <w:snapToGrid w:val="0"/>
          <w:kern w:val="0"/>
          <w:sz w:val="24"/>
        </w:rPr>
        <w:t>作出</w:t>
      </w:r>
      <w:proofErr w:type="gramEnd"/>
      <w:r>
        <w:rPr>
          <w:rFonts w:ascii="宋体" w:hAnsi="宋体" w:cs="Arial"/>
          <w:snapToGrid w:val="0"/>
          <w:kern w:val="0"/>
          <w:sz w:val="24"/>
        </w:rPr>
        <w:t>决议外，股东会不</w:t>
      </w:r>
      <w:r>
        <w:rPr>
          <w:rFonts w:ascii="宋体" w:hAnsi="宋体" w:cs="Arial" w:hint="eastAsia"/>
          <w:snapToGrid w:val="0"/>
          <w:kern w:val="0"/>
          <w:sz w:val="24"/>
        </w:rPr>
        <w:t>得</w:t>
      </w:r>
      <w:r>
        <w:rPr>
          <w:rFonts w:ascii="宋体" w:hAnsi="宋体" w:cs="Arial"/>
          <w:snapToGrid w:val="0"/>
          <w:kern w:val="0"/>
          <w:sz w:val="24"/>
        </w:rPr>
        <w:t>对提案进行搁置或不予表决。</w:t>
      </w:r>
    </w:p>
    <w:p w14:paraId="40EDAC8D" w14:textId="54236F9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hint="eastAsia"/>
          <w:sz w:val="24"/>
          <w:szCs w:val="24"/>
        </w:rPr>
        <w:t>股东会审议提案时，不会对提案进行修改，若变更，则应当被视为一个新的提案，不能在本次股东会上进行表决。</w:t>
      </w:r>
    </w:p>
    <w:p w14:paraId="790182F9"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同一表决权只能选择现场、网络或其他表决方式中的一种。同一表决权出现重复表决的以第一次投票结果为准。</w:t>
      </w:r>
    </w:p>
    <w:p w14:paraId="4A0A7DEC" w14:textId="6E7CAE7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股东会采取记名方式投票表决。</w:t>
      </w:r>
    </w:p>
    <w:p w14:paraId="0F8D9D21" w14:textId="6626B3CF"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w:t>
      </w:r>
      <w:r>
        <w:rPr>
          <w:rFonts w:ascii="宋体" w:hAnsi="宋体" w:cs="Arial"/>
          <w:snapToGrid w:val="0"/>
          <w:kern w:val="0"/>
          <w:sz w:val="24"/>
        </w:rPr>
        <w:t>股东会对提案进行表决前，应当推举两名股东代表参加计票和监票。审议事项与股东有</w:t>
      </w:r>
      <w:r w:rsidR="00327BDC">
        <w:rPr>
          <w:rFonts w:ascii="宋体" w:hAnsi="宋体" w:cs="Arial" w:hint="eastAsia"/>
          <w:snapToGrid w:val="0"/>
          <w:kern w:val="0"/>
          <w:sz w:val="24"/>
        </w:rPr>
        <w:t>关联</w:t>
      </w:r>
      <w:r>
        <w:rPr>
          <w:rFonts w:ascii="宋体" w:hAnsi="宋体" w:cs="Arial"/>
          <w:snapToGrid w:val="0"/>
          <w:kern w:val="0"/>
          <w:sz w:val="24"/>
        </w:rPr>
        <w:t>关系的，相关股东及代理人不得参加计票、监票。</w:t>
      </w:r>
    </w:p>
    <w:p w14:paraId="46D1BF06" w14:textId="01BA8B6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股东会对提案进行表决时，应当由律师、股东代表共同负责计票、监票，并当场公布表决结果，决议的表决结果载入会议记录。</w:t>
      </w:r>
    </w:p>
    <w:p w14:paraId="779A2051" w14:textId="77777777" w:rsidR="005A4DB3" w:rsidRDefault="00F11E53">
      <w:pPr>
        <w:spacing w:beforeLines="50" w:before="156" w:afterLines="50" w:after="156" w:line="360" w:lineRule="auto"/>
        <w:ind w:firstLineChars="200" w:firstLine="480"/>
        <w:rPr>
          <w:sz w:val="24"/>
          <w:szCs w:val="24"/>
        </w:rPr>
      </w:pPr>
      <w:r>
        <w:rPr>
          <w:rFonts w:hint="eastAsia"/>
          <w:sz w:val="24"/>
          <w:szCs w:val="24"/>
        </w:rPr>
        <w:t>通过网络或其他方式投票的公司股东或其代理人，有权通过相应的投票系统查验自己的投票结果。</w:t>
      </w:r>
    </w:p>
    <w:p w14:paraId="6ED6CD24" w14:textId="6C82740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股东会现场结束时间不得早于</w:t>
      </w:r>
      <w:r>
        <w:rPr>
          <w:rFonts w:hint="eastAsia"/>
          <w:sz w:val="24"/>
          <w:szCs w:val="24"/>
        </w:rPr>
        <w:t>网络或其他方式，会议主持人应当宣布每一提案的表决情况和结果，并根据表决结果宣布提案是否通过。</w:t>
      </w:r>
    </w:p>
    <w:p w14:paraId="4188D8E3" w14:textId="1C71ACAB" w:rsidR="005A4DB3" w:rsidRDefault="00F11E53">
      <w:pPr>
        <w:spacing w:beforeLines="50" w:before="156" w:afterLines="50" w:after="156" w:line="360" w:lineRule="auto"/>
        <w:ind w:firstLineChars="200" w:firstLine="480"/>
        <w:rPr>
          <w:sz w:val="24"/>
          <w:szCs w:val="24"/>
        </w:rPr>
      </w:pPr>
      <w:r>
        <w:rPr>
          <w:rFonts w:ascii="宋体" w:hAnsi="宋体" w:cs="Arial" w:hint="eastAsia"/>
          <w:snapToGrid w:val="0"/>
          <w:kern w:val="0"/>
          <w:sz w:val="24"/>
        </w:rPr>
        <w:t>在正式公布表决结果前，</w:t>
      </w:r>
      <w:r>
        <w:rPr>
          <w:rFonts w:hint="eastAsia"/>
          <w:sz w:val="24"/>
          <w:szCs w:val="24"/>
        </w:rPr>
        <w:t>股东会现场、网络及其他表决方式中所涉及的公司、计票人、监票人、股东、网络服务方等相关各方对表决情况均负有保密义务。</w:t>
      </w:r>
    </w:p>
    <w:p w14:paraId="39F54B37" w14:textId="4FF9E92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出席股东会的股东和代理人，应当对提交表决的提案发表以下意见之一：同意、反对或弃权。</w:t>
      </w:r>
      <w:bookmarkStart w:id="57" w:name="_Hlk203405552"/>
      <w:r>
        <w:rPr>
          <w:rFonts w:ascii="宋体" w:hAnsi="宋体" w:cs="Arial" w:hint="eastAsia"/>
          <w:snapToGrid w:val="0"/>
          <w:kern w:val="0"/>
          <w:sz w:val="24"/>
        </w:rPr>
        <w:t>证券登记结算机构作为内地与香港股票市场交易互联互通机制股票的名义持有人，按照实际持有人意思表示进行申报的除外。</w:t>
      </w:r>
    </w:p>
    <w:bookmarkEnd w:id="57"/>
    <w:p w14:paraId="1253532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未填、错填、字迹无法辨认的表决票、未投的</w:t>
      </w:r>
      <w:proofErr w:type="gramStart"/>
      <w:r>
        <w:rPr>
          <w:rFonts w:ascii="宋体" w:hAnsi="宋体" w:cs="Arial"/>
          <w:snapToGrid w:val="0"/>
          <w:kern w:val="0"/>
          <w:sz w:val="24"/>
        </w:rPr>
        <w:t>表决票均视为</w:t>
      </w:r>
      <w:proofErr w:type="gramEnd"/>
      <w:r>
        <w:rPr>
          <w:rFonts w:ascii="宋体" w:hAnsi="宋体" w:cs="Arial"/>
          <w:snapToGrid w:val="0"/>
          <w:kern w:val="0"/>
          <w:sz w:val="24"/>
        </w:rPr>
        <w:t>投票人放弃表决权利，其所持股份数的表决结果应计为“弃权”。</w:t>
      </w:r>
    </w:p>
    <w:p w14:paraId="21A9AE4D"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会议主持人如果对提交表决的决议结果有任何怀疑，可以对所投票</w:t>
      </w:r>
      <w:proofErr w:type="gramStart"/>
      <w:r>
        <w:rPr>
          <w:rFonts w:ascii="宋体" w:hAnsi="宋体" w:cs="Arial" w:hint="eastAsia"/>
          <w:snapToGrid w:val="0"/>
          <w:kern w:val="0"/>
          <w:sz w:val="24"/>
        </w:rPr>
        <w:t>数组织</w:t>
      </w:r>
      <w:proofErr w:type="gramEnd"/>
      <w:r>
        <w:rPr>
          <w:rFonts w:ascii="宋体" w:hAnsi="宋体" w:cs="Arial" w:hint="eastAsia"/>
          <w:snapToGrid w:val="0"/>
          <w:kern w:val="0"/>
          <w:sz w:val="24"/>
        </w:rPr>
        <w:t>点票；如果会议主持人未进行点票，出席会议的股东或者股东代理人对会议主持人宣布结果有异议的，有权在宣布表决结果后立即要求点票，会议主持人应当立即组织点票。</w:t>
      </w:r>
    </w:p>
    <w:p w14:paraId="05907D1E" w14:textId="49DFC2B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股东会决议应当及时公告，公告中应列明出席会议的股东和代理人人数、所持有表决权的股份总数及占公司有表决权股份总数的比例、表决方式、每项提案的表决结果和通过的各项决议的详细内容。</w:t>
      </w:r>
    </w:p>
    <w:p w14:paraId="131CA3C5" w14:textId="23653AB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提案未获通过，或者本次股东会变更前次股东会决议的，应当在股东会决议公告中作特别提示。</w:t>
      </w:r>
    </w:p>
    <w:p w14:paraId="4CC37510" w14:textId="713CFDA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股东会通过有关董事选举提案的，新任董事在股东会就任时间</w:t>
      </w:r>
      <w:proofErr w:type="gramStart"/>
      <w:r>
        <w:rPr>
          <w:rFonts w:ascii="宋体" w:hAnsi="宋体" w:cs="Arial"/>
          <w:snapToGrid w:val="0"/>
          <w:kern w:val="0"/>
          <w:sz w:val="24"/>
        </w:rPr>
        <w:t>自股东</w:t>
      </w:r>
      <w:proofErr w:type="gramEnd"/>
      <w:r>
        <w:rPr>
          <w:rFonts w:ascii="宋体" w:hAnsi="宋体" w:cs="Arial"/>
          <w:snapToGrid w:val="0"/>
          <w:kern w:val="0"/>
          <w:sz w:val="24"/>
        </w:rPr>
        <w:t>会</w:t>
      </w:r>
      <w:proofErr w:type="gramStart"/>
      <w:r>
        <w:rPr>
          <w:rFonts w:ascii="宋体" w:hAnsi="宋体" w:cs="Arial"/>
          <w:snapToGrid w:val="0"/>
          <w:kern w:val="0"/>
          <w:sz w:val="24"/>
        </w:rPr>
        <w:t>作出</w:t>
      </w:r>
      <w:proofErr w:type="gramEnd"/>
      <w:r>
        <w:rPr>
          <w:rFonts w:ascii="宋体" w:hAnsi="宋体" w:cs="Arial"/>
          <w:snapToGrid w:val="0"/>
          <w:kern w:val="0"/>
          <w:sz w:val="24"/>
        </w:rPr>
        <w:t>通过选举决议当日起计算。</w:t>
      </w:r>
    </w:p>
    <w:p w14:paraId="016EBF02" w14:textId="4F79F09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w:t>
      </w:r>
      <w:r>
        <w:rPr>
          <w:rFonts w:ascii="宋体" w:hAnsi="宋体" w:cs="Arial"/>
          <w:snapToGrid w:val="0"/>
          <w:kern w:val="0"/>
          <w:sz w:val="24"/>
        </w:rPr>
        <w:t>股东会通过有关派现、送股或资本公积金转增股本提案的，公司将在股东会结束后</w:t>
      </w:r>
      <w:r>
        <w:rPr>
          <w:rFonts w:ascii="宋体" w:hAnsi="宋体" w:cs="Arial" w:hint="eastAsia"/>
          <w:snapToGrid w:val="0"/>
          <w:kern w:val="0"/>
          <w:sz w:val="24"/>
        </w:rPr>
        <w:t>二</w:t>
      </w:r>
      <w:r>
        <w:rPr>
          <w:rFonts w:ascii="宋体" w:hAnsi="宋体" w:cs="Arial"/>
          <w:snapToGrid w:val="0"/>
          <w:kern w:val="0"/>
          <w:sz w:val="24"/>
        </w:rPr>
        <w:t>个月内实施具体方案。</w:t>
      </w:r>
    </w:p>
    <w:p w14:paraId="10A25B30" w14:textId="77777777" w:rsidR="005A4DB3" w:rsidRDefault="00F11E53">
      <w:pPr>
        <w:pStyle w:val="1"/>
        <w:spacing w:beforeLines="50" w:before="156" w:afterLines="50" w:after="156" w:line="360" w:lineRule="auto"/>
      </w:pPr>
      <w:bookmarkStart w:id="58" w:name="_Toc414213718"/>
      <w:bookmarkStart w:id="59" w:name="_Toc495415948"/>
      <w:bookmarkStart w:id="60" w:name="_Toc212813227"/>
      <w:r>
        <w:t>第五章</w:t>
      </w:r>
      <w:r>
        <w:t xml:space="preserve"> </w:t>
      </w:r>
      <w:r>
        <w:t>董事会</w:t>
      </w:r>
      <w:bookmarkEnd w:id="58"/>
      <w:bookmarkEnd w:id="59"/>
      <w:bookmarkEnd w:id="60"/>
    </w:p>
    <w:p w14:paraId="3F910167" w14:textId="77777777" w:rsidR="005A4DB3" w:rsidRDefault="00F11E53">
      <w:pPr>
        <w:pStyle w:val="2"/>
        <w:spacing w:beforeLines="50" w:before="156" w:afterLines="50" w:after="156" w:line="360" w:lineRule="auto"/>
        <w:rPr>
          <w:snapToGrid w:val="0"/>
          <w:kern w:val="0"/>
        </w:rPr>
      </w:pPr>
      <w:bookmarkStart w:id="61" w:name="_Toc414213719"/>
      <w:bookmarkStart w:id="62" w:name="_Toc495415949"/>
      <w:bookmarkStart w:id="63" w:name="_Toc212813228"/>
      <w:r>
        <w:rPr>
          <w:snapToGrid w:val="0"/>
          <w:kern w:val="0"/>
        </w:rPr>
        <w:t>第一节</w:t>
      </w:r>
      <w:r>
        <w:rPr>
          <w:snapToGrid w:val="0"/>
          <w:kern w:val="0"/>
        </w:rPr>
        <w:t xml:space="preserve"> </w:t>
      </w:r>
      <w:r>
        <w:rPr>
          <w:snapToGrid w:val="0"/>
          <w:kern w:val="0"/>
        </w:rPr>
        <w:t>董事</w:t>
      </w:r>
      <w:bookmarkEnd w:id="61"/>
      <w:bookmarkEnd w:id="62"/>
      <w:r>
        <w:rPr>
          <w:rFonts w:hint="eastAsia"/>
          <w:snapToGrid w:val="0"/>
          <w:kern w:val="0"/>
        </w:rPr>
        <w:t>的一般规定</w:t>
      </w:r>
      <w:bookmarkEnd w:id="63"/>
    </w:p>
    <w:p w14:paraId="38EF9DE7"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snapToGrid w:val="0"/>
          <w:kern w:val="0"/>
          <w:sz w:val="24"/>
        </w:rPr>
        <w:t xml:space="preserve"> 公司董事为自然人，有下列情形之一的，不能担任公司的董事：</w:t>
      </w:r>
    </w:p>
    <w:p w14:paraId="5B898208"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（一）无民事行为能力或者限制民事行为能力；</w:t>
      </w:r>
    </w:p>
    <w:p w14:paraId="454E41F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（二）因贪污、贿赂、侵占财产、挪用财产或者破坏社会主义市场经济秩序，被判处刑罚，执行期满未逾</w:t>
      </w:r>
      <w:r>
        <w:rPr>
          <w:rFonts w:ascii="宋体" w:hAnsi="宋体" w:cs="Arial" w:hint="eastAsia"/>
          <w:snapToGrid w:val="0"/>
          <w:kern w:val="0"/>
          <w:sz w:val="24"/>
        </w:rPr>
        <w:t>五</w:t>
      </w:r>
      <w:r>
        <w:rPr>
          <w:rFonts w:ascii="宋体" w:hAnsi="宋体" w:cs="Arial"/>
          <w:snapToGrid w:val="0"/>
          <w:kern w:val="0"/>
          <w:sz w:val="24"/>
        </w:rPr>
        <w:t>年，或者因犯罪被剥夺政治权利，执行期满未逾</w:t>
      </w:r>
      <w:r>
        <w:rPr>
          <w:rFonts w:ascii="宋体" w:hAnsi="宋体" w:cs="Arial" w:hint="eastAsia"/>
          <w:snapToGrid w:val="0"/>
          <w:kern w:val="0"/>
          <w:sz w:val="24"/>
        </w:rPr>
        <w:t>五</w:t>
      </w:r>
      <w:r>
        <w:rPr>
          <w:rFonts w:ascii="宋体" w:hAnsi="宋体" w:cs="Arial"/>
          <w:snapToGrid w:val="0"/>
          <w:kern w:val="0"/>
          <w:sz w:val="24"/>
        </w:rPr>
        <w:t>年</w:t>
      </w:r>
      <w:r>
        <w:rPr>
          <w:rFonts w:ascii="宋体" w:hAnsi="宋体" w:cs="Arial" w:hint="eastAsia"/>
          <w:snapToGrid w:val="0"/>
          <w:kern w:val="0"/>
          <w:sz w:val="24"/>
        </w:rPr>
        <w:t>，被宣告缓刑的，自缓刑考验期满之日起未逾二年</w:t>
      </w:r>
      <w:r>
        <w:rPr>
          <w:rFonts w:ascii="宋体" w:hAnsi="宋体" w:cs="Arial"/>
          <w:snapToGrid w:val="0"/>
          <w:kern w:val="0"/>
          <w:sz w:val="24"/>
        </w:rPr>
        <w:t>；</w:t>
      </w:r>
    </w:p>
    <w:p w14:paraId="6644E755"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（三）担任破产清算的公司、企业的董事或者厂长、</w:t>
      </w:r>
      <w:r>
        <w:rPr>
          <w:rFonts w:ascii="宋体" w:hAnsi="宋体" w:cs="Arial" w:hint="eastAsia"/>
          <w:snapToGrid w:val="0"/>
          <w:kern w:val="0"/>
          <w:sz w:val="24"/>
        </w:rPr>
        <w:t>（总）</w:t>
      </w:r>
      <w:r>
        <w:rPr>
          <w:rFonts w:ascii="宋体" w:hAnsi="宋体" w:cs="Arial"/>
          <w:snapToGrid w:val="0"/>
          <w:kern w:val="0"/>
          <w:sz w:val="24"/>
        </w:rPr>
        <w:t>经理，对该公司、企业的破产负有个人责任的，自该公司、企业破产清算完结之日起未逾</w:t>
      </w:r>
      <w:r>
        <w:rPr>
          <w:rFonts w:ascii="宋体" w:hAnsi="宋体" w:cs="Arial" w:hint="eastAsia"/>
          <w:snapToGrid w:val="0"/>
          <w:kern w:val="0"/>
          <w:sz w:val="24"/>
        </w:rPr>
        <w:t>三</w:t>
      </w:r>
      <w:r>
        <w:rPr>
          <w:rFonts w:ascii="宋体" w:hAnsi="宋体" w:cs="Arial"/>
          <w:snapToGrid w:val="0"/>
          <w:kern w:val="0"/>
          <w:sz w:val="24"/>
        </w:rPr>
        <w:t>年；</w:t>
      </w:r>
    </w:p>
    <w:p w14:paraId="7C6BA2D5"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（四）担任因违法被吊销营业执照、责令关闭的公司、企业的法定代表人，并负有个人责任的，自该公司、企业被吊销营业执照</w:t>
      </w:r>
      <w:r>
        <w:rPr>
          <w:rFonts w:ascii="宋体" w:hAnsi="宋体" w:cs="Arial" w:hint="eastAsia"/>
          <w:snapToGrid w:val="0"/>
          <w:kern w:val="0"/>
          <w:sz w:val="24"/>
        </w:rPr>
        <w:t>、责令关闭</w:t>
      </w:r>
      <w:r>
        <w:rPr>
          <w:rFonts w:ascii="宋体" w:hAnsi="宋体" w:cs="Arial"/>
          <w:snapToGrid w:val="0"/>
          <w:kern w:val="0"/>
          <w:sz w:val="24"/>
        </w:rPr>
        <w:t>之日起未逾</w:t>
      </w:r>
      <w:r>
        <w:rPr>
          <w:rFonts w:ascii="宋体" w:hAnsi="宋体" w:cs="Arial" w:hint="eastAsia"/>
          <w:snapToGrid w:val="0"/>
          <w:kern w:val="0"/>
          <w:sz w:val="24"/>
        </w:rPr>
        <w:t>三</w:t>
      </w:r>
      <w:r>
        <w:rPr>
          <w:rFonts w:ascii="宋体" w:hAnsi="宋体" w:cs="Arial"/>
          <w:snapToGrid w:val="0"/>
          <w:kern w:val="0"/>
          <w:sz w:val="24"/>
        </w:rPr>
        <w:t>年；</w:t>
      </w:r>
    </w:p>
    <w:p w14:paraId="4852C85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（五）个人所负数额较大的债务到期未清偿</w:t>
      </w:r>
      <w:r>
        <w:rPr>
          <w:rFonts w:ascii="宋体" w:hAnsi="宋体" w:cs="Arial" w:hint="eastAsia"/>
          <w:snapToGrid w:val="0"/>
          <w:kern w:val="0"/>
          <w:sz w:val="24"/>
        </w:rPr>
        <w:t>被人民法院列为失信被执行人</w:t>
      </w:r>
      <w:r>
        <w:rPr>
          <w:rFonts w:ascii="宋体" w:hAnsi="宋体" w:cs="Arial"/>
          <w:snapToGrid w:val="0"/>
          <w:kern w:val="0"/>
          <w:sz w:val="24"/>
        </w:rPr>
        <w:t>；</w:t>
      </w:r>
    </w:p>
    <w:p w14:paraId="2ADD120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六</w:t>
      </w:r>
      <w:r>
        <w:rPr>
          <w:rFonts w:ascii="宋体" w:hAnsi="宋体" w:cs="Arial"/>
          <w:snapToGrid w:val="0"/>
          <w:kern w:val="0"/>
          <w:sz w:val="24"/>
        </w:rPr>
        <w:t>）</w:t>
      </w:r>
      <w:r>
        <w:rPr>
          <w:rFonts w:ascii="宋体" w:hAnsi="宋体" w:cs="Arial" w:hint="eastAsia"/>
          <w:snapToGrid w:val="0"/>
          <w:kern w:val="0"/>
          <w:sz w:val="24"/>
        </w:rPr>
        <w:t>被中国证监会处以证券市场禁入处罚，期限未满的；</w:t>
      </w:r>
    </w:p>
    <w:p w14:paraId="7E08FDD0"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（七）被证券交易所公开认定为不适合担任上市公司董事、高级管理人员等，期限未满的；</w:t>
      </w:r>
    </w:p>
    <w:p w14:paraId="39FE170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（八）</w:t>
      </w:r>
      <w:r>
        <w:rPr>
          <w:rFonts w:ascii="宋体" w:hAnsi="宋体" w:cs="Arial"/>
          <w:snapToGrid w:val="0"/>
          <w:kern w:val="0"/>
          <w:sz w:val="24"/>
        </w:rPr>
        <w:t>法律、行政法规或部门规章规定的其他内容。</w:t>
      </w:r>
    </w:p>
    <w:p w14:paraId="63C5B111"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违反本条规定选举、委派董事的，该选举、委派或者聘任无效。董事在任职期间出现本条情形的，公司解除其职务</w:t>
      </w:r>
      <w:r>
        <w:rPr>
          <w:rFonts w:ascii="宋体" w:hAnsi="宋体" w:cs="Arial" w:hint="eastAsia"/>
          <w:snapToGrid w:val="0"/>
          <w:kern w:val="0"/>
          <w:sz w:val="24"/>
        </w:rPr>
        <w:t>，停止其履职</w:t>
      </w:r>
      <w:r>
        <w:rPr>
          <w:rFonts w:ascii="宋体" w:hAnsi="宋体" w:cs="Arial"/>
          <w:snapToGrid w:val="0"/>
          <w:kern w:val="0"/>
          <w:sz w:val="24"/>
        </w:rPr>
        <w:t>。</w:t>
      </w:r>
    </w:p>
    <w:p w14:paraId="3226D75B" w14:textId="3695F18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董事由股东会选举或更换</w:t>
      </w:r>
      <w:r>
        <w:rPr>
          <w:rFonts w:ascii="宋体" w:hAnsi="宋体" w:cs="Arial" w:hint="eastAsia"/>
          <w:snapToGrid w:val="0"/>
          <w:kern w:val="0"/>
          <w:sz w:val="24"/>
        </w:rPr>
        <w:t>，并可在任期届满前由股东会解除其职务。董事任期三年，任期届满可连选连任。</w:t>
      </w:r>
    </w:p>
    <w:p w14:paraId="17209368"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董事任期从就任之日起计算，至本届董事会任期届满时为止。董事任期届满未及时改选，在改选出的董事就任前，原董事仍应当依照法律、行政法规、部门规章和本章程的规定，履行董事职务。</w:t>
      </w:r>
    </w:p>
    <w:p w14:paraId="57C3ABFC" w14:textId="49E6F61C"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lastRenderedPageBreak/>
        <w:t>董事可以由高级管理人员兼任，但兼任总经理或者其他高级管理人员职务的董事以及由职工代表担任的董事，总计不得超过公司董事总数的</w:t>
      </w:r>
      <w:r>
        <w:rPr>
          <w:rFonts w:ascii="宋体" w:hAnsi="宋体" w:cs="Arial"/>
          <w:snapToGrid w:val="0"/>
          <w:kern w:val="0"/>
          <w:sz w:val="24"/>
        </w:rPr>
        <w:t>1/2</w:t>
      </w:r>
      <w:r>
        <w:rPr>
          <w:rFonts w:ascii="宋体" w:hAnsi="宋体" w:cs="Arial" w:hint="eastAsia"/>
          <w:snapToGrid w:val="0"/>
          <w:kern w:val="0"/>
          <w:sz w:val="24"/>
        </w:rPr>
        <w:t>。</w:t>
      </w:r>
    </w:p>
    <w:p w14:paraId="08A9CD06" w14:textId="3C7C63F1"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公司董事会成员中设一名职工代表董事。董事会的职工代表由公司职工通过职工代表大会、职工大会或者其他形式民主选举产生，无需提交股东会审议。</w:t>
      </w:r>
    </w:p>
    <w:p w14:paraId="752B16EC" w14:textId="0B12F13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董事应当遵守法律、行政法规和本章程，对公司负有下列忠实义务</w:t>
      </w:r>
      <w:r>
        <w:rPr>
          <w:rFonts w:ascii="宋体" w:hAnsi="宋体" w:cs="Arial" w:hint="eastAsia"/>
          <w:snapToGrid w:val="0"/>
          <w:kern w:val="0"/>
          <w:sz w:val="24"/>
        </w:rPr>
        <w:t>，应当采取措施避免自身利益与公司利益冲突，不得利用职权牟取不正当利益。</w:t>
      </w:r>
    </w:p>
    <w:p w14:paraId="111B6156"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董事对公司负有下列忠实义务：</w:t>
      </w:r>
    </w:p>
    <w:p w14:paraId="6271CE9F"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（一）不得侵占公司财产、挪用公司资金；</w:t>
      </w:r>
    </w:p>
    <w:p w14:paraId="4310944F"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（二）不得将公司资金以其个人名义或者其他个人名义开立账户存储；</w:t>
      </w:r>
    </w:p>
    <w:p w14:paraId="6E167FC6"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（三）不得利用职权贿赂或者收受其他非法收入；</w:t>
      </w:r>
    </w:p>
    <w:p w14:paraId="7030D067"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（四）未向董事会或者股东会报告，并按照本章程的规定经董事会或者股东会决议通过，不得直接或者间接与本公司订立合同或者进行交易；</w:t>
      </w:r>
    </w:p>
    <w:p w14:paraId="1BB7FAD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（五）不得利用职务便利，为自己或者他人谋取属于公司的商业机会，但向董事会或者股东会报告并经股东会决议通过，或者公司根据法律、行政法规或者本章程的规定，不能利用该商业机会的除外；</w:t>
      </w:r>
    </w:p>
    <w:p w14:paraId="7C1E50C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（六）未向董事会或者股东会报告，并经股东会决议通过，不得自营或者为他人经营与本公司同类的业务；</w:t>
      </w:r>
    </w:p>
    <w:p w14:paraId="320E0A95"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（七）不得接受他人与公司交易的佣金归为己有；</w:t>
      </w:r>
    </w:p>
    <w:p w14:paraId="5FB8CEC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（八）不得擅自披露公司秘密；</w:t>
      </w:r>
    </w:p>
    <w:p w14:paraId="4FE130D6"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（九）不得利用其关联关系损害公司利益；</w:t>
      </w:r>
    </w:p>
    <w:p w14:paraId="0D1B505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（十）法律、行政法规、部门规章及本章程规定的其他忠实义务。</w:t>
      </w:r>
    </w:p>
    <w:p w14:paraId="6BE60833"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董事违反本条规定所得的收入，应当归公司所有；给公司造成损失的，应当承担赔偿责任。</w:t>
      </w:r>
    </w:p>
    <w:p w14:paraId="72D56A43"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董事、高级管理人员的近亲属，董事、高级管理人员或者其近亲属直接或者</w:t>
      </w:r>
      <w:r>
        <w:rPr>
          <w:rFonts w:ascii="宋体" w:hAnsi="宋体" w:cs="Arial" w:hint="eastAsia"/>
          <w:snapToGrid w:val="0"/>
          <w:kern w:val="0"/>
          <w:sz w:val="24"/>
        </w:rPr>
        <w:lastRenderedPageBreak/>
        <w:t>间接控制的企业，以及与董事、高级管理人员有其他关联关系的关联人，与公司订立合同或者进行交易，适用本条第二款第（四）项规定。</w:t>
      </w:r>
    </w:p>
    <w:p w14:paraId="7075F243" w14:textId="749841A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董事应当遵守法律、行政法规和本章程，对公司负有下列勤勉义务，执行职务应当为公司的最大利益尽到管理者通常应有的合理注意。</w:t>
      </w:r>
    </w:p>
    <w:p w14:paraId="77DBD9DD" w14:textId="77777777" w:rsidR="005A4DB3" w:rsidRDefault="00F11E53" w:rsidP="00292011">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董事对公司负有下列勤勉义务：</w:t>
      </w:r>
    </w:p>
    <w:p w14:paraId="4841F848"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（一）应谨慎、认真、勤勉地行使公司赋予的权利，以保证公司的商业行为符合国家法律、行政法规以及国家各项经济政策的要求，商业活动不超过营业执照规定的业务范围；</w:t>
      </w:r>
    </w:p>
    <w:p w14:paraId="25DECBE2"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（二）应公平对待所有股东；</w:t>
      </w:r>
    </w:p>
    <w:p w14:paraId="6F405BE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（三）及时了解公司业务经营管理状况；</w:t>
      </w:r>
    </w:p>
    <w:p w14:paraId="13121BE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（四）应当对公司定期报告签署书面确认意见，保证公司所披露的信息真实、准确、完整；</w:t>
      </w:r>
    </w:p>
    <w:p w14:paraId="38C58AA5"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（五）应当如实向审计委员会提供有关情况和资料，不得妨碍审计委员会行使职权；</w:t>
      </w:r>
    </w:p>
    <w:p w14:paraId="72CE9D20" w14:textId="56386AA3"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（六）法律、行政法规、部门规章及本章程规定的其他勤勉义务。</w:t>
      </w:r>
    </w:p>
    <w:p w14:paraId="7B6ED5A6" w14:textId="4D5FE11B"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董事连续两次未能亲自出席，也不委托其他董事出席董事会会议，视为不能履行职责，董事会应当建议股东会予以撤换。</w:t>
      </w:r>
    </w:p>
    <w:p w14:paraId="6607396A" w14:textId="313CE9A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董事可以在任期届满以前</w:t>
      </w:r>
      <w:r w:rsidR="00327BDC">
        <w:rPr>
          <w:rFonts w:ascii="宋体" w:hAnsi="宋体" w:cs="Arial" w:hint="eastAsia"/>
          <w:snapToGrid w:val="0"/>
          <w:kern w:val="0"/>
          <w:sz w:val="24"/>
        </w:rPr>
        <w:t>辞任</w:t>
      </w:r>
      <w:r>
        <w:rPr>
          <w:rFonts w:ascii="宋体" w:hAnsi="宋体" w:cs="Arial"/>
          <w:snapToGrid w:val="0"/>
          <w:kern w:val="0"/>
          <w:sz w:val="24"/>
        </w:rPr>
        <w:t>。</w:t>
      </w:r>
      <w:proofErr w:type="gramStart"/>
      <w:r>
        <w:rPr>
          <w:rFonts w:ascii="宋体" w:hAnsi="宋体" w:cs="Arial"/>
          <w:snapToGrid w:val="0"/>
          <w:kern w:val="0"/>
          <w:sz w:val="24"/>
        </w:rPr>
        <w:t>董事</w:t>
      </w:r>
      <w:r w:rsidR="00327BDC">
        <w:rPr>
          <w:rFonts w:ascii="宋体" w:hAnsi="宋体" w:cs="Arial" w:hint="eastAsia"/>
          <w:snapToGrid w:val="0"/>
          <w:kern w:val="0"/>
          <w:sz w:val="24"/>
        </w:rPr>
        <w:t>辞任</w:t>
      </w:r>
      <w:r>
        <w:rPr>
          <w:rFonts w:ascii="宋体" w:hAnsi="宋体" w:cs="Arial"/>
          <w:snapToGrid w:val="0"/>
          <w:kern w:val="0"/>
          <w:sz w:val="24"/>
        </w:rPr>
        <w:t>应</w:t>
      </w:r>
      <w:proofErr w:type="gramEnd"/>
      <w:r>
        <w:rPr>
          <w:rFonts w:ascii="宋体" w:hAnsi="宋体" w:cs="Arial"/>
          <w:snapToGrid w:val="0"/>
          <w:kern w:val="0"/>
          <w:sz w:val="24"/>
        </w:rPr>
        <w:t>向</w:t>
      </w:r>
      <w:r w:rsidR="003414E4">
        <w:rPr>
          <w:rFonts w:ascii="宋体" w:hAnsi="宋体" w:cs="Arial" w:hint="eastAsia"/>
          <w:snapToGrid w:val="0"/>
          <w:kern w:val="0"/>
          <w:sz w:val="24"/>
        </w:rPr>
        <w:t>公司</w:t>
      </w:r>
      <w:r>
        <w:rPr>
          <w:rFonts w:ascii="宋体" w:hAnsi="宋体" w:cs="Arial"/>
          <w:snapToGrid w:val="0"/>
          <w:kern w:val="0"/>
          <w:sz w:val="24"/>
        </w:rPr>
        <w:t>提交书面辞职报告</w:t>
      </w:r>
      <w:r>
        <w:rPr>
          <w:rFonts w:ascii="宋体" w:hAnsi="宋体" w:cs="Arial" w:hint="eastAsia"/>
          <w:snapToGrid w:val="0"/>
          <w:kern w:val="0"/>
          <w:sz w:val="24"/>
        </w:rPr>
        <w:t>，公司收到辞职报告之</w:t>
      </w:r>
      <w:proofErr w:type="gramStart"/>
      <w:r>
        <w:rPr>
          <w:rFonts w:ascii="宋体" w:hAnsi="宋体" w:cs="Arial" w:hint="eastAsia"/>
          <w:snapToGrid w:val="0"/>
          <w:kern w:val="0"/>
          <w:sz w:val="24"/>
        </w:rPr>
        <w:t>日辞任</w:t>
      </w:r>
      <w:proofErr w:type="gramEnd"/>
      <w:r>
        <w:rPr>
          <w:rFonts w:ascii="宋体" w:hAnsi="宋体" w:cs="Arial" w:hint="eastAsia"/>
          <w:snapToGrid w:val="0"/>
          <w:kern w:val="0"/>
          <w:sz w:val="24"/>
        </w:rPr>
        <w:t>生效</w:t>
      </w:r>
      <w:r w:rsidR="00327BDC">
        <w:rPr>
          <w:rFonts w:ascii="宋体" w:hAnsi="宋体" w:cs="Arial" w:hint="eastAsia"/>
          <w:snapToGrid w:val="0"/>
          <w:kern w:val="0"/>
          <w:sz w:val="24"/>
        </w:rPr>
        <w:t>，</w:t>
      </w:r>
      <w:r w:rsidR="00327BDC" w:rsidRPr="00327BDC">
        <w:rPr>
          <w:rFonts w:ascii="宋体" w:hAnsi="宋体" w:cs="Arial" w:hint="eastAsia"/>
          <w:snapToGrid w:val="0"/>
          <w:kern w:val="0"/>
          <w:sz w:val="24"/>
        </w:rPr>
        <w:t>公司将在两个交易日内披露有关情况</w:t>
      </w:r>
      <w:r>
        <w:rPr>
          <w:rFonts w:ascii="宋体" w:hAnsi="宋体" w:cs="Arial" w:hint="eastAsia"/>
          <w:snapToGrid w:val="0"/>
          <w:kern w:val="0"/>
          <w:sz w:val="24"/>
        </w:rPr>
        <w:t>。</w:t>
      </w:r>
    </w:p>
    <w:p w14:paraId="313029A0" w14:textId="3427482B"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如因董事的</w:t>
      </w:r>
      <w:proofErr w:type="gramStart"/>
      <w:r w:rsidR="00327BDC">
        <w:rPr>
          <w:rFonts w:ascii="宋体" w:hAnsi="宋体" w:cs="Arial" w:hint="eastAsia"/>
          <w:snapToGrid w:val="0"/>
          <w:kern w:val="0"/>
          <w:sz w:val="24"/>
        </w:rPr>
        <w:t>辞任</w:t>
      </w:r>
      <w:r>
        <w:rPr>
          <w:rFonts w:ascii="宋体" w:hAnsi="宋体" w:cs="Arial"/>
          <w:snapToGrid w:val="0"/>
          <w:kern w:val="0"/>
          <w:sz w:val="24"/>
        </w:rPr>
        <w:t>导致</w:t>
      </w:r>
      <w:proofErr w:type="gramEnd"/>
      <w:r>
        <w:rPr>
          <w:rFonts w:ascii="宋体" w:hAnsi="宋体" w:cs="Arial"/>
          <w:snapToGrid w:val="0"/>
          <w:kern w:val="0"/>
          <w:sz w:val="24"/>
        </w:rPr>
        <w:t>公司董事会低于法定最低人数时，在改选出的董事就任前，原董事仍应当依照法律、行政法规、部门规章和本章程规定，履行董事职务。</w:t>
      </w:r>
    </w:p>
    <w:p w14:paraId="1FB9A722"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公司建立董事离职管理制度，明确对未履行完毕的公开承诺以及其他未尽事宜追责追偿的保障措施。</w:t>
      </w:r>
      <w:r>
        <w:rPr>
          <w:rFonts w:ascii="宋体" w:hAnsi="宋体" w:cs="Arial"/>
          <w:snapToGrid w:val="0"/>
          <w:kern w:val="0"/>
          <w:sz w:val="24"/>
        </w:rPr>
        <w:t>董事辞职生效或者任期届满，应向董事会办妥所有移交手续，其对公司和股东承担的忠实义务，在任期结束后并不当然解除，在辞职生效或者任期届满后</w:t>
      </w:r>
      <w:r>
        <w:rPr>
          <w:rFonts w:ascii="宋体" w:hAnsi="宋体" w:cs="Arial" w:hint="eastAsia"/>
          <w:snapToGrid w:val="0"/>
          <w:kern w:val="0"/>
          <w:sz w:val="24"/>
        </w:rPr>
        <w:t>3</w:t>
      </w:r>
      <w:r>
        <w:rPr>
          <w:rFonts w:ascii="宋体" w:hAnsi="宋体" w:cs="Arial"/>
          <w:snapToGrid w:val="0"/>
          <w:kern w:val="0"/>
          <w:sz w:val="24"/>
        </w:rPr>
        <w:t>年内仍然有效。</w:t>
      </w:r>
      <w:r>
        <w:rPr>
          <w:rFonts w:ascii="宋体" w:hAnsi="宋体" w:cs="Arial" w:hint="eastAsia"/>
          <w:snapToGrid w:val="0"/>
          <w:kern w:val="0"/>
          <w:sz w:val="24"/>
        </w:rPr>
        <w:t>董事在任职期间因执行职务而应承担的责任，不因离任而免除或者终止。</w:t>
      </w:r>
    </w:p>
    <w:p w14:paraId="304D8C2F"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股东会可以决议解任董事，决议</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之日解任生效。</w:t>
      </w:r>
    </w:p>
    <w:p w14:paraId="2A07AFD5" w14:textId="77777777" w:rsidR="005A4DB3" w:rsidRDefault="00F11E53" w:rsidP="00292011">
      <w:pPr>
        <w:adjustRightInd w:val="0"/>
        <w:snapToGrid w:val="0"/>
        <w:spacing w:beforeLines="50" w:before="156" w:afterLines="50" w:after="156" w:line="360" w:lineRule="auto"/>
        <w:ind w:firstLineChars="100" w:firstLine="240"/>
        <w:rPr>
          <w:rFonts w:ascii="宋体" w:hAnsi="宋体" w:cs="Arial" w:hint="eastAsia"/>
          <w:snapToGrid w:val="0"/>
          <w:kern w:val="0"/>
          <w:sz w:val="24"/>
        </w:rPr>
      </w:pPr>
      <w:r>
        <w:rPr>
          <w:rFonts w:ascii="宋体" w:hAnsi="宋体" w:cs="Arial" w:hint="eastAsia"/>
          <w:snapToGrid w:val="0"/>
          <w:kern w:val="0"/>
          <w:sz w:val="24"/>
        </w:rPr>
        <w:t>无正当理由，在任期届满前解任董事的，董事可以要求公司予以赔偿。</w:t>
      </w:r>
    </w:p>
    <w:p w14:paraId="03F1402C"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59377787" w14:textId="2F59AA1D"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w:t>
      </w:r>
      <w:r>
        <w:rPr>
          <w:rFonts w:ascii="宋体" w:hAnsi="宋体" w:cs="Arial" w:hint="eastAsia"/>
          <w:snapToGrid w:val="0"/>
          <w:kern w:val="0"/>
          <w:sz w:val="24"/>
        </w:rPr>
        <w:t>执行公司职务，给他人造成损害的，公司将承担赔偿责任；董事存在故意或者重大过失的，也应当承担赔偿责任</w:t>
      </w:r>
      <w:r>
        <w:rPr>
          <w:rFonts w:ascii="宋体" w:hAnsi="宋体" w:cs="Arial"/>
          <w:snapToGrid w:val="0"/>
          <w:kern w:val="0"/>
          <w:sz w:val="24"/>
        </w:rPr>
        <w:t>。</w:t>
      </w:r>
    </w:p>
    <w:p w14:paraId="3FF161F1" w14:textId="77777777" w:rsidR="005A4DB3" w:rsidRDefault="00F11E53" w:rsidP="00292011">
      <w:pPr>
        <w:adjustRightInd w:val="0"/>
        <w:snapToGrid w:val="0"/>
        <w:spacing w:beforeLines="50" w:before="156" w:afterLines="50" w:after="156" w:line="360" w:lineRule="auto"/>
        <w:ind w:firstLineChars="100" w:firstLine="240"/>
        <w:rPr>
          <w:rFonts w:ascii="宋体" w:hAnsi="宋体" w:cs="Arial" w:hint="eastAsia"/>
          <w:snapToGrid w:val="0"/>
          <w:kern w:val="0"/>
          <w:sz w:val="24"/>
        </w:rPr>
      </w:pPr>
      <w:r>
        <w:rPr>
          <w:rFonts w:ascii="宋体" w:hAnsi="宋体" w:cs="Arial" w:hint="eastAsia"/>
          <w:snapToGrid w:val="0"/>
          <w:kern w:val="0"/>
          <w:sz w:val="24"/>
        </w:rPr>
        <w:t>董事执行公司职务时违反法律、行政法规、部门规章或者本章程的规定，给公司造成损失的，应当承担赔偿责任。</w:t>
      </w:r>
    </w:p>
    <w:p w14:paraId="062DCEF9" w14:textId="77777777" w:rsidR="005A4DB3" w:rsidRDefault="00F11E53">
      <w:pPr>
        <w:pStyle w:val="2"/>
        <w:spacing w:beforeLines="50" w:before="156" w:afterLines="50" w:after="156" w:line="360" w:lineRule="auto"/>
        <w:rPr>
          <w:snapToGrid w:val="0"/>
          <w:kern w:val="0"/>
        </w:rPr>
      </w:pPr>
      <w:bookmarkStart w:id="64" w:name="_Toc495415950"/>
      <w:bookmarkStart w:id="65" w:name="_Toc414213720"/>
      <w:bookmarkStart w:id="66" w:name="_Toc212813229"/>
      <w:r>
        <w:rPr>
          <w:snapToGrid w:val="0"/>
          <w:kern w:val="0"/>
        </w:rPr>
        <w:t>第二节</w:t>
      </w:r>
      <w:r>
        <w:rPr>
          <w:snapToGrid w:val="0"/>
          <w:kern w:val="0"/>
        </w:rPr>
        <w:t xml:space="preserve"> </w:t>
      </w:r>
      <w:r>
        <w:rPr>
          <w:snapToGrid w:val="0"/>
          <w:kern w:val="0"/>
        </w:rPr>
        <w:t>董事会</w:t>
      </w:r>
      <w:bookmarkEnd w:id="64"/>
      <w:bookmarkEnd w:id="65"/>
      <w:bookmarkEnd w:id="66"/>
    </w:p>
    <w:p w14:paraId="2669DBE2" w14:textId="745F641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公司设董事会，</w:t>
      </w:r>
      <w:r>
        <w:rPr>
          <w:rFonts w:ascii="宋体" w:hAnsi="宋体" w:cs="Arial" w:hint="eastAsia"/>
          <w:snapToGrid w:val="0"/>
          <w:kern w:val="0"/>
          <w:sz w:val="24"/>
        </w:rPr>
        <w:t>董事会由</w:t>
      </w:r>
      <w:r w:rsidRPr="00292011">
        <w:rPr>
          <w:rFonts w:ascii="宋体" w:hAnsi="宋体" w:cs="Arial" w:hint="eastAsia"/>
          <w:snapToGrid w:val="0"/>
          <w:kern w:val="0"/>
          <w:sz w:val="24"/>
        </w:rPr>
        <w:t>9名董事组成，</w:t>
      </w:r>
      <w:r w:rsidR="00292011" w:rsidRPr="00292011">
        <w:rPr>
          <w:rFonts w:ascii="宋体" w:hAnsi="宋体" w:cs="Arial" w:hint="eastAsia"/>
          <w:snapToGrid w:val="0"/>
          <w:kern w:val="0"/>
          <w:sz w:val="24"/>
        </w:rPr>
        <w:t>其中，职工代表董事1人。公司</w:t>
      </w:r>
      <w:r w:rsidRPr="00292011">
        <w:rPr>
          <w:rFonts w:ascii="宋体" w:hAnsi="宋体" w:cs="Arial" w:hint="eastAsia"/>
          <w:snapToGrid w:val="0"/>
          <w:kern w:val="0"/>
          <w:sz w:val="24"/>
        </w:rPr>
        <w:t>设董事长一人</w:t>
      </w:r>
      <w:r w:rsidR="00117620" w:rsidRPr="00292011">
        <w:rPr>
          <w:rFonts w:ascii="宋体" w:hAnsi="宋体" w:cs="Arial" w:hint="eastAsia"/>
          <w:snapToGrid w:val="0"/>
          <w:kern w:val="0"/>
          <w:sz w:val="24"/>
        </w:rPr>
        <w:t>，公司可以设副董事长1人</w:t>
      </w:r>
      <w:r w:rsidRPr="00292011">
        <w:rPr>
          <w:rFonts w:ascii="宋体" w:hAnsi="宋体" w:cs="Arial"/>
          <w:snapToGrid w:val="0"/>
          <w:kern w:val="0"/>
          <w:sz w:val="24"/>
        </w:rPr>
        <w:t>。</w:t>
      </w:r>
      <w:r w:rsidRPr="00292011">
        <w:rPr>
          <w:rFonts w:ascii="宋体" w:hAnsi="宋体" w:cs="Arial" w:hint="eastAsia"/>
          <w:snapToGrid w:val="0"/>
          <w:kern w:val="0"/>
          <w:sz w:val="24"/>
        </w:rPr>
        <w:t>董事长和副董事长由</w:t>
      </w:r>
      <w:r>
        <w:rPr>
          <w:rFonts w:ascii="宋体" w:hAnsi="宋体" w:cs="Arial" w:hint="eastAsia"/>
          <w:snapToGrid w:val="0"/>
          <w:kern w:val="0"/>
          <w:sz w:val="24"/>
        </w:rPr>
        <w:t>董事会以全体董事的过半数选举产生。</w:t>
      </w:r>
    </w:p>
    <w:p w14:paraId="5D244369" w14:textId="0D9AAF6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董事会行使下列职权：</w:t>
      </w:r>
    </w:p>
    <w:p w14:paraId="533B06E8" w14:textId="2EBF10F9"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（一）召集股东会，并向股东会报告工作；</w:t>
      </w:r>
    </w:p>
    <w:p w14:paraId="1A84E479" w14:textId="72FAFD38"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（二）执行股东会的决议；</w:t>
      </w:r>
    </w:p>
    <w:p w14:paraId="773DC8E6"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（三）决定公司的经营计划和投资方案；</w:t>
      </w:r>
    </w:p>
    <w:p w14:paraId="7BAC4240" w14:textId="728DC893"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四</w:t>
      </w:r>
      <w:r>
        <w:rPr>
          <w:rFonts w:ascii="宋体" w:hAnsi="宋体" w:cs="Arial"/>
          <w:snapToGrid w:val="0"/>
          <w:kern w:val="0"/>
          <w:sz w:val="24"/>
        </w:rPr>
        <w:t>）制订公司的利润分配方案和弥补亏损方案；</w:t>
      </w:r>
    </w:p>
    <w:p w14:paraId="1A7697AD" w14:textId="4454B36D"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五</w:t>
      </w:r>
      <w:r>
        <w:rPr>
          <w:rFonts w:ascii="宋体" w:hAnsi="宋体" w:cs="Arial"/>
          <w:snapToGrid w:val="0"/>
          <w:kern w:val="0"/>
          <w:sz w:val="24"/>
        </w:rPr>
        <w:t>）制订公司增加或者减少注册资本、发行债券方案</w:t>
      </w:r>
      <w:r>
        <w:rPr>
          <w:rFonts w:ascii="宋体" w:hAnsi="宋体" w:cs="Arial" w:hint="eastAsia"/>
          <w:snapToGrid w:val="0"/>
          <w:kern w:val="0"/>
          <w:sz w:val="24"/>
        </w:rPr>
        <w:t>或其他证券及上市方案</w:t>
      </w:r>
      <w:r>
        <w:rPr>
          <w:rFonts w:ascii="宋体" w:hAnsi="宋体" w:cs="Arial"/>
          <w:snapToGrid w:val="0"/>
          <w:kern w:val="0"/>
          <w:sz w:val="24"/>
        </w:rPr>
        <w:t>；</w:t>
      </w:r>
    </w:p>
    <w:p w14:paraId="52A5763A" w14:textId="0074388A"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w:t>
      </w:r>
      <w:r>
        <w:rPr>
          <w:rFonts w:ascii="宋体" w:hAnsi="宋体" w:cs="Arial" w:hint="eastAsia"/>
          <w:snapToGrid w:val="0"/>
          <w:kern w:val="0"/>
          <w:sz w:val="24"/>
        </w:rPr>
        <w:t>六</w:t>
      </w:r>
      <w:r>
        <w:rPr>
          <w:rFonts w:ascii="宋体" w:hAnsi="宋体" w:cs="Arial"/>
          <w:snapToGrid w:val="0"/>
          <w:kern w:val="0"/>
          <w:sz w:val="24"/>
        </w:rPr>
        <w:t>）拟订公司</w:t>
      </w:r>
      <w:r>
        <w:rPr>
          <w:rFonts w:ascii="宋体" w:hAnsi="宋体" w:cs="Arial" w:hint="eastAsia"/>
          <w:snapToGrid w:val="0"/>
          <w:kern w:val="0"/>
          <w:sz w:val="24"/>
        </w:rPr>
        <w:t>重大收购、收购本公司股票或者</w:t>
      </w:r>
      <w:r>
        <w:rPr>
          <w:rFonts w:ascii="宋体" w:hAnsi="宋体" w:cs="Arial"/>
          <w:snapToGrid w:val="0"/>
          <w:kern w:val="0"/>
          <w:sz w:val="24"/>
        </w:rPr>
        <w:t>合并、分立、解散及变更公司形式的方案；</w:t>
      </w:r>
    </w:p>
    <w:p w14:paraId="30B5799F" w14:textId="5A878FC0"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七</w:t>
      </w:r>
      <w:r>
        <w:rPr>
          <w:rFonts w:ascii="宋体" w:hAnsi="宋体" w:cs="Arial"/>
          <w:snapToGrid w:val="0"/>
          <w:kern w:val="0"/>
          <w:sz w:val="24"/>
        </w:rPr>
        <w:t>）在股东会授权范围内</w:t>
      </w:r>
      <w:r>
        <w:rPr>
          <w:rFonts w:ascii="宋体" w:hAnsi="宋体" w:cs="Arial" w:hint="eastAsia"/>
          <w:snapToGrid w:val="0"/>
          <w:kern w:val="0"/>
          <w:sz w:val="24"/>
        </w:rPr>
        <w:t>，</w:t>
      </w:r>
      <w:r>
        <w:rPr>
          <w:rFonts w:ascii="宋体" w:hAnsi="宋体" w:cs="Arial"/>
          <w:snapToGrid w:val="0"/>
          <w:kern w:val="0"/>
          <w:sz w:val="24"/>
        </w:rPr>
        <w:t>决定公司对外投资、收购出售资产、资产抵押、对外担保事项、委托理财、关联交易</w:t>
      </w:r>
      <w:r>
        <w:rPr>
          <w:rFonts w:ascii="宋体" w:hAnsi="宋体" w:cs="Arial" w:hint="eastAsia"/>
          <w:snapToGrid w:val="0"/>
          <w:kern w:val="0"/>
          <w:sz w:val="24"/>
        </w:rPr>
        <w:t>、对外捐赠</w:t>
      </w:r>
      <w:r>
        <w:rPr>
          <w:rFonts w:ascii="宋体" w:hAnsi="宋体" w:cs="Arial"/>
          <w:snapToGrid w:val="0"/>
          <w:kern w:val="0"/>
          <w:sz w:val="24"/>
        </w:rPr>
        <w:t>等事项；</w:t>
      </w:r>
    </w:p>
    <w:p w14:paraId="3D07877A" w14:textId="1DA29CF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lastRenderedPageBreak/>
        <w:t xml:space="preserve">　　（</w:t>
      </w:r>
      <w:r>
        <w:rPr>
          <w:rFonts w:ascii="宋体" w:hAnsi="宋体" w:cs="Arial" w:hint="eastAsia"/>
          <w:snapToGrid w:val="0"/>
          <w:kern w:val="0"/>
          <w:sz w:val="24"/>
        </w:rPr>
        <w:t>八</w:t>
      </w:r>
      <w:r>
        <w:rPr>
          <w:rFonts w:ascii="宋体" w:hAnsi="宋体" w:cs="Arial"/>
          <w:snapToGrid w:val="0"/>
          <w:kern w:val="0"/>
          <w:sz w:val="24"/>
        </w:rPr>
        <w:t>）决定公司内部管理机构的设置；</w:t>
      </w:r>
    </w:p>
    <w:p w14:paraId="64E52E6E" w14:textId="700B242F"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w:t>
      </w:r>
      <w:r>
        <w:rPr>
          <w:rFonts w:ascii="宋体" w:hAnsi="宋体" w:cs="Arial" w:hint="eastAsia"/>
          <w:snapToGrid w:val="0"/>
          <w:kern w:val="0"/>
          <w:sz w:val="24"/>
        </w:rPr>
        <w:t>九</w:t>
      </w:r>
      <w:r>
        <w:rPr>
          <w:rFonts w:ascii="宋体" w:hAnsi="宋体" w:cs="Arial"/>
          <w:snapToGrid w:val="0"/>
          <w:kern w:val="0"/>
          <w:sz w:val="24"/>
        </w:rPr>
        <w:t>）</w:t>
      </w:r>
      <w:r>
        <w:rPr>
          <w:rFonts w:ascii="宋体" w:hAnsi="宋体" w:cs="Arial" w:hint="eastAsia"/>
          <w:snapToGrid w:val="0"/>
          <w:kern w:val="0"/>
          <w:sz w:val="24"/>
        </w:rPr>
        <w:t>决定</w:t>
      </w:r>
      <w:r>
        <w:rPr>
          <w:rFonts w:ascii="宋体" w:hAnsi="宋体" w:cs="Arial"/>
          <w:snapToGrid w:val="0"/>
          <w:kern w:val="0"/>
          <w:sz w:val="24"/>
        </w:rPr>
        <w:t>聘任或者解聘公司总经理</w:t>
      </w:r>
      <w:r>
        <w:rPr>
          <w:rFonts w:ascii="宋体" w:hAnsi="宋体" w:cs="Arial" w:hint="eastAsia"/>
          <w:snapToGrid w:val="0"/>
          <w:kern w:val="0"/>
          <w:sz w:val="24"/>
        </w:rPr>
        <w:t>、董事会秘书及其他高级管理人员</w:t>
      </w:r>
      <w:r>
        <w:rPr>
          <w:rFonts w:ascii="宋体" w:hAnsi="宋体" w:cs="Arial"/>
          <w:snapToGrid w:val="0"/>
          <w:kern w:val="0"/>
          <w:sz w:val="24"/>
        </w:rPr>
        <w:t>，并决定其报酬事项和奖惩事项；</w:t>
      </w:r>
      <w:r>
        <w:rPr>
          <w:rFonts w:ascii="宋体" w:hAnsi="宋体" w:cs="Arial" w:hint="eastAsia"/>
          <w:snapToGrid w:val="0"/>
          <w:kern w:val="0"/>
          <w:sz w:val="24"/>
        </w:rPr>
        <w:t>根据总经理的提名，决定聘任或者解聘公司副总经理、财务总监等高级管理人员，并决定其报酬事项和奖惩事项；</w:t>
      </w:r>
    </w:p>
    <w:p w14:paraId="47332D5E" w14:textId="3663CA00"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（十）制</w:t>
      </w:r>
      <w:r w:rsidR="0055673D">
        <w:rPr>
          <w:rFonts w:ascii="宋体" w:hAnsi="宋体" w:cs="Arial" w:hint="eastAsia"/>
          <w:snapToGrid w:val="0"/>
          <w:kern w:val="0"/>
          <w:sz w:val="24"/>
        </w:rPr>
        <w:t>定</w:t>
      </w:r>
      <w:r>
        <w:rPr>
          <w:rFonts w:ascii="宋体" w:hAnsi="宋体" w:cs="Arial"/>
          <w:snapToGrid w:val="0"/>
          <w:kern w:val="0"/>
          <w:sz w:val="24"/>
        </w:rPr>
        <w:t>公司的基本管理制度；</w:t>
      </w:r>
    </w:p>
    <w:p w14:paraId="11604F36" w14:textId="785AA3B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（十</w:t>
      </w:r>
      <w:r>
        <w:rPr>
          <w:rFonts w:ascii="宋体" w:hAnsi="宋体" w:cs="Arial" w:hint="eastAsia"/>
          <w:snapToGrid w:val="0"/>
          <w:kern w:val="0"/>
          <w:sz w:val="24"/>
        </w:rPr>
        <w:t>一</w:t>
      </w:r>
      <w:r>
        <w:rPr>
          <w:rFonts w:ascii="宋体" w:hAnsi="宋体" w:cs="Arial"/>
          <w:snapToGrid w:val="0"/>
          <w:kern w:val="0"/>
          <w:sz w:val="24"/>
        </w:rPr>
        <w:t>）制订本章程的修改方案</w:t>
      </w:r>
      <w:r>
        <w:rPr>
          <w:rFonts w:ascii="宋体" w:hAnsi="宋体" w:cs="Arial" w:hint="eastAsia"/>
          <w:snapToGrid w:val="0"/>
          <w:kern w:val="0"/>
          <w:sz w:val="24"/>
        </w:rPr>
        <w:t>；</w:t>
      </w:r>
    </w:p>
    <w:p w14:paraId="36CB78D9" w14:textId="4C565F2E"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（十二）管理公司信息披露事项</w:t>
      </w:r>
      <w:r w:rsidR="00414EBA">
        <w:rPr>
          <w:rFonts w:ascii="宋体" w:hAnsi="宋体" w:cs="Arial" w:hint="eastAsia"/>
          <w:snapToGrid w:val="0"/>
          <w:kern w:val="0"/>
          <w:sz w:val="24"/>
        </w:rPr>
        <w:t>；</w:t>
      </w:r>
    </w:p>
    <w:p w14:paraId="36E7F972" w14:textId="0A683D1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（十</w:t>
      </w:r>
      <w:r>
        <w:rPr>
          <w:rFonts w:ascii="宋体" w:hAnsi="宋体" w:cs="Arial" w:hint="eastAsia"/>
          <w:snapToGrid w:val="0"/>
          <w:kern w:val="0"/>
          <w:sz w:val="24"/>
        </w:rPr>
        <w:t>三</w:t>
      </w:r>
      <w:r>
        <w:rPr>
          <w:rFonts w:ascii="宋体" w:hAnsi="宋体" w:cs="Arial"/>
          <w:snapToGrid w:val="0"/>
          <w:kern w:val="0"/>
          <w:sz w:val="24"/>
        </w:rPr>
        <w:t>）</w:t>
      </w:r>
      <w:r>
        <w:rPr>
          <w:rFonts w:ascii="宋体" w:hAnsi="宋体" w:cs="Arial" w:hint="eastAsia"/>
          <w:snapToGrid w:val="0"/>
          <w:kern w:val="0"/>
          <w:sz w:val="24"/>
        </w:rPr>
        <w:t>向股东会提请聘请或更换为公司审计的会计师事务所；</w:t>
      </w:r>
    </w:p>
    <w:p w14:paraId="7C59515E" w14:textId="619D0B1E"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（十</w:t>
      </w:r>
      <w:r>
        <w:rPr>
          <w:rFonts w:ascii="宋体" w:hAnsi="宋体" w:cs="Arial" w:hint="eastAsia"/>
          <w:snapToGrid w:val="0"/>
          <w:kern w:val="0"/>
          <w:sz w:val="24"/>
        </w:rPr>
        <w:t>四</w:t>
      </w:r>
      <w:r>
        <w:rPr>
          <w:rFonts w:ascii="宋体" w:hAnsi="宋体" w:cs="Arial"/>
          <w:snapToGrid w:val="0"/>
          <w:kern w:val="0"/>
          <w:sz w:val="24"/>
        </w:rPr>
        <w:t>）听取公司总经理的工作汇报并检查总经理的工作；</w:t>
      </w:r>
    </w:p>
    <w:p w14:paraId="099383E1" w14:textId="4F31D0FA" w:rsidR="005A4DB3" w:rsidRDefault="00F11E53">
      <w:pPr>
        <w:adjustRightInd w:val="0"/>
        <w:snapToGrid w:val="0"/>
        <w:spacing w:beforeLines="50" w:before="156" w:afterLines="50" w:after="156" w:line="360" w:lineRule="auto"/>
        <w:ind w:left="480"/>
        <w:rPr>
          <w:rFonts w:ascii="宋体" w:hAnsi="宋体" w:cs="Arial" w:hint="eastAsia"/>
          <w:snapToGrid w:val="0"/>
          <w:kern w:val="0"/>
          <w:sz w:val="24"/>
        </w:rPr>
      </w:pPr>
      <w:r>
        <w:rPr>
          <w:rFonts w:ascii="宋体" w:hAnsi="宋体" w:cs="Arial"/>
          <w:snapToGrid w:val="0"/>
          <w:kern w:val="0"/>
          <w:sz w:val="24"/>
        </w:rPr>
        <w:t>（十</w:t>
      </w:r>
      <w:r>
        <w:rPr>
          <w:rFonts w:ascii="宋体" w:hAnsi="宋体" w:cs="Arial" w:hint="eastAsia"/>
          <w:snapToGrid w:val="0"/>
          <w:kern w:val="0"/>
          <w:sz w:val="24"/>
        </w:rPr>
        <w:t>五</w:t>
      </w:r>
      <w:r>
        <w:rPr>
          <w:rFonts w:ascii="宋体" w:hAnsi="宋体" w:cs="Arial"/>
          <w:snapToGrid w:val="0"/>
          <w:kern w:val="0"/>
          <w:sz w:val="24"/>
        </w:rPr>
        <w:t>）法律、行政法规、部门规章</w:t>
      </w:r>
      <w:r>
        <w:rPr>
          <w:rFonts w:ascii="宋体" w:hAnsi="宋体" w:cs="Arial" w:hint="eastAsia"/>
          <w:snapToGrid w:val="0"/>
          <w:kern w:val="0"/>
          <w:sz w:val="24"/>
        </w:rPr>
        <w:t>、</w:t>
      </w:r>
      <w:r>
        <w:rPr>
          <w:rFonts w:ascii="宋体" w:hAnsi="宋体" w:cs="Arial"/>
          <w:snapToGrid w:val="0"/>
          <w:kern w:val="0"/>
          <w:sz w:val="24"/>
        </w:rPr>
        <w:t>本章程</w:t>
      </w:r>
      <w:r>
        <w:rPr>
          <w:rFonts w:ascii="宋体" w:hAnsi="宋体" w:cs="Arial" w:hint="eastAsia"/>
          <w:snapToGrid w:val="0"/>
          <w:kern w:val="0"/>
          <w:sz w:val="24"/>
        </w:rPr>
        <w:t>或者股东会</w:t>
      </w:r>
      <w:r>
        <w:rPr>
          <w:rFonts w:ascii="宋体" w:hAnsi="宋体" w:cs="Arial"/>
          <w:snapToGrid w:val="0"/>
          <w:kern w:val="0"/>
          <w:sz w:val="24"/>
        </w:rPr>
        <w:t>授予的其他职权。</w:t>
      </w:r>
    </w:p>
    <w:p w14:paraId="7B37049C" w14:textId="195860CD" w:rsidR="005A4DB3" w:rsidRDefault="00F11E53">
      <w:pPr>
        <w:adjustRightInd w:val="0"/>
        <w:snapToGrid w:val="0"/>
        <w:spacing w:beforeLines="50" w:before="156" w:afterLines="50" w:after="156" w:line="360" w:lineRule="auto"/>
        <w:ind w:left="480"/>
        <w:rPr>
          <w:rFonts w:ascii="宋体" w:hAnsi="宋体" w:cs="Arial" w:hint="eastAsia"/>
          <w:snapToGrid w:val="0"/>
          <w:kern w:val="0"/>
          <w:sz w:val="24"/>
        </w:rPr>
      </w:pPr>
      <w:r>
        <w:rPr>
          <w:rFonts w:ascii="宋体" w:hAnsi="宋体" w:cs="Arial" w:hint="eastAsia"/>
          <w:snapToGrid w:val="0"/>
          <w:kern w:val="0"/>
          <w:sz w:val="24"/>
        </w:rPr>
        <w:t>超过股东会授权范围的事项，应当提交股东会审议。</w:t>
      </w:r>
    </w:p>
    <w:p w14:paraId="08B8C585" w14:textId="6E865CF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公司董事会应当就注册会计师对公司财务报告出具的非标准审计意见向股东会</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说明。</w:t>
      </w:r>
    </w:p>
    <w:p w14:paraId="337E21B6" w14:textId="33A8FD98"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董事会制定董事会议事规则，以确保董事会落实股东会决议，提高工作效率，保证科学决策。</w:t>
      </w:r>
    </w:p>
    <w:p w14:paraId="08E004E8" w14:textId="75157AEB"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董事会议事规则</w:t>
      </w:r>
      <w:r>
        <w:rPr>
          <w:rFonts w:ascii="宋体" w:hAnsi="宋体" w:cs="Arial"/>
          <w:snapToGrid w:val="0"/>
          <w:kern w:val="0"/>
          <w:sz w:val="24"/>
        </w:rPr>
        <w:t>规定董事会的召开和表决程序，由董事会拟定，股东会批准</w:t>
      </w:r>
      <w:r>
        <w:rPr>
          <w:rFonts w:ascii="宋体" w:hAnsi="宋体" w:cs="Arial" w:hint="eastAsia"/>
          <w:snapToGrid w:val="0"/>
          <w:kern w:val="0"/>
          <w:sz w:val="24"/>
        </w:rPr>
        <w:t>。</w:t>
      </w:r>
    </w:p>
    <w:p w14:paraId="1528FE31" w14:textId="734C77B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董事会应当确定对外投资、收购出售资产、</w:t>
      </w:r>
      <w:r>
        <w:rPr>
          <w:rFonts w:hint="eastAsia"/>
          <w:sz w:val="24"/>
          <w:szCs w:val="24"/>
        </w:rPr>
        <w:t>资产抵押、对外担保事项、委托理财、关联交易、对外捐赠等权限，建立严格的审查和决策程序；重大投资项目应当组织有关专家、专业人员进行评审，并报股东会批准。</w:t>
      </w:r>
    </w:p>
    <w:p w14:paraId="60AC6355" w14:textId="579A5CEF"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根据谨慎授权的原则，董事会在股东会的授权权限范围内对下列交易进行审查：</w:t>
      </w:r>
    </w:p>
    <w:p w14:paraId="506BA34C"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董事会批准上述交易（对外担保除外）权限如下：</w:t>
      </w:r>
    </w:p>
    <w:p w14:paraId="4C647845" w14:textId="4951F2F2"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w:t>
      </w:r>
      <w:proofErr w:type="gramStart"/>
      <w:r>
        <w:rPr>
          <w:rFonts w:ascii="宋体" w:hAnsi="宋体" w:cs="Arial" w:hint="eastAsia"/>
          <w:snapToGrid w:val="0"/>
          <w:kern w:val="0"/>
          <w:sz w:val="24"/>
        </w:rPr>
        <w:t>一</w:t>
      </w:r>
      <w:proofErr w:type="gramEnd"/>
      <w:r>
        <w:rPr>
          <w:rFonts w:ascii="宋体" w:hAnsi="宋体" w:cs="Arial" w:hint="eastAsia"/>
          <w:snapToGrid w:val="0"/>
          <w:kern w:val="0"/>
          <w:sz w:val="24"/>
        </w:rPr>
        <w:t>)交易涉及的资产总额（同时存在</w:t>
      </w:r>
      <w:r w:rsidR="003461C1">
        <w:rPr>
          <w:rFonts w:ascii="宋体" w:hAnsi="宋体" w:cs="Arial" w:hint="eastAsia"/>
          <w:snapToGrid w:val="0"/>
          <w:kern w:val="0"/>
          <w:sz w:val="24"/>
        </w:rPr>
        <w:t>账面</w:t>
      </w:r>
      <w:r>
        <w:rPr>
          <w:rFonts w:ascii="宋体" w:hAnsi="宋体" w:cs="Arial" w:hint="eastAsia"/>
          <w:snapToGrid w:val="0"/>
          <w:kern w:val="0"/>
          <w:sz w:val="24"/>
        </w:rPr>
        <w:t>值和评估值的，以高者为准）占公司最近一期经审计的资产总额的 10％</w:t>
      </w:r>
      <w:proofErr w:type="gramStart"/>
      <w:r>
        <w:rPr>
          <w:rFonts w:ascii="宋体" w:hAnsi="宋体" w:cs="Arial" w:hint="eastAsia"/>
          <w:snapToGrid w:val="0"/>
          <w:kern w:val="0"/>
          <w:sz w:val="24"/>
        </w:rPr>
        <w:t>以上但</w:t>
      </w:r>
      <w:proofErr w:type="gramEnd"/>
      <w:r>
        <w:rPr>
          <w:rFonts w:ascii="宋体" w:hAnsi="宋体" w:cs="Arial" w:hint="eastAsia"/>
          <w:snapToGrid w:val="0"/>
          <w:kern w:val="0"/>
          <w:sz w:val="24"/>
        </w:rPr>
        <w:t>不满 50%；</w:t>
      </w:r>
    </w:p>
    <w:p w14:paraId="4566CADB"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lastRenderedPageBreak/>
        <w:t xml:space="preserve">(二)交易产生的利润占公司最近一个会计年度经审计净利润的 50％以下，或绝对金额未超过 500 万元； </w:t>
      </w:r>
    </w:p>
    <w:p w14:paraId="1380FA98"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(三)交易的成交金额（承担债务、费用等应当一并计算）占公司最近一期经审计净资产额的 50％以下，或绝对金额未超过 5000 万元；</w:t>
      </w:r>
    </w:p>
    <w:p w14:paraId="561A5430"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(四)交易标的（如股权）在最近一个会计年度相关的主营业务收入占公司最近一个会计年度经审计主营业务收入的 50％以下，或绝对金额未超过 5000万元；</w:t>
      </w:r>
    </w:p>
    <w:p w14:paraId="4B1C8D6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(五)交易标的(如股权)在最近一个会计年度相关的净利润占上市公司最近一个会计年度经审计净利润的 50％以下，或绝对金额未超过 500 万元。</w:t>
      </w:r>
    </w:p>
    <w:p w14:paraId="21698BB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上述指标计算中涉及的数据如为负值，取其绝对值计算。</w:t>
      </w:r>
    </w:p>
    <w:p w14:paraId="69211F5A" w14:textId="1836BD8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除本章程第四十六条规定的担保行为应提交股东会审议外，公司的对外担保均须经董事会审议，并经出席董事会的三分之二以上董事签署同意；公司对外担保必须要求对方提供反担保，且反担保的提供方需具有实际承担能力。</w:t>
      </w:r>
    </w:p>
    <w:p w14:paraId="36BCAAEB"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应由董事会批准的关联交易如下：</w:t>
      </w:r>
    </w:p>
    <w:p w14:paraId="7EF5D06F" w14:textId="0711E84C"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与关联自然人发生的交易金额在30万元以上的关联交易（公司对外担保除外），及公司与关联法人发生的交易金额在300万元以上，且占公司最近一期经审计净资产绝对值0.5%以上的关联交易（公司对外担保除外）；但公司与关联人发生的交易金额在3000万元以上，且占公司最近一期经审计净资产绝对值5%以上的关联交易，应提交股东会审议。</w:t>
      </w:r>
    </w:p>
    <w:p w14:paraId="34E2F265" w14:textId="7FA5D17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董事长行使下列职权：</w:t>
      </w:r>
    </w:p>
    <w:p w14:paraId="0179D407" w14:textId="1762D100"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（一）主持股东会和召集、主持董事会会议；</w:t>
      </w:r>
    </w:p>
    <w:p w14:paraId="39C7C106"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（二）督促、检查董事会决议的执行；</w:t>
      </w:r>
    </w:p>
    <w:p w14:paraId="3F44CAA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w:t>
      </w:r>
      <w:r>
        <w:rPr>
          <w:rFonts w:ascii="宋体" w:hAnsi="宋体" w:cs="Arial"/>
          <w:snapToGrid w:val="0"/>
          <w:kern w:val="0"/>
          <w:sz w:val="24"/>
        </w:rPr>
        <w:t>）</w:t>
      </w:r>
      <w:r>
        <w:rPr>
          <w:rFonts w:ascii="宋体" w:hAnsi="宋体" w:cs="Arial" w:hint="eastAsia"/>
          <w:snapToGrid w:val="0"/>
          <w:kern w:val="0"/>
          <w:sz w:val="24"/>
        </w:rPr>
        <w:t>董事会授予的其他职权。</w:t>
      </w:r>
    </w:p>
    <w:p w14:paraId="4D1FA5A3"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公司副董事长协助董事长工作，</w:t>
      </w:r>
      <w:r>
        <w:rPr>
          <w:rFonts w:ascii="宋体" w:hAnsi="宋体" w:cs="Arial"/>
          <w:snapToGrid w:val="0"/>
          <w:kern w:val="0"/>
          <w:sz w:val="24"/>
        </w:rPr>
        <w:t>董事长不能履行职务或者不履行职务的，</w:t>
      </w:r>
      <w:r>
        <w:rPr>
          <w:rFonts w:ascii="宋体" w:hAnsi="宋体" w:cs="Arial" w:hint="eastAsia"/>
          <w:snapToGrid w:val="0"/>
          <w:kern w:val="0"/>
          <w:sz w:val="24"/>
        </w:rPr>
        <w:t>由副董事长履行职务；副董事长不能</w:t>
      </w:r>
      <w:r>
        <w:rPr>
          <w:rFonts w:ascii="宋体" w:hAnsi="宋体" w:cs="Arial"/>
          <w:snapToGrid w:val="0"/>
          <w:kern w:val="0"/>
          <w:sz w:val="24"/>
        </w:rPr>
        <w:t>履行职务或者不履行职务的</w:t>
      </w:r>
      <w:r>
        <w:rPr>
          <w:rFonts w:ascii="宋体" w:hAnsi="宋体" w:cs="Arial" w:hint="eastAsia"/>
          <w:snapToGrid w:val="0"/>
          <w:kern w:val="0"/>
          <w:sz w:val="24"/>
        </w:rPr>
        <w:t>，由</w:t>
      </w:r>
      <w:r>
        <w:rPr>
          <w:rFonts w:ascii="宋体" w:hAnsi="宋体" w:cs="Arial"/>
          <w:snapToGrid w:val="0"/>
          <w:kern w:val="0"/>
          <w:sz w:val="24"/>
        </w:rPr>
        <w:t>半数以上董事共同推举一名董事履行职务。</w:t>
      </w:r>
    </w:p>
    <w:p w14:paraId="52223BCD" w14:textId="44F8BB2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w:t>
      </w:r>
      <w:r>
        <w:rPr>
          <w:rFonts w:ascii="宋体" w:hAnsi="宋体" w:cs="Arial"/>
          <w:snapToGrid w:val="0"/>
          <w:kern w:val="0"/>
          <w:sz w:val="24"/>
        </w:rPr>
        <w:t>董事会每年至少召开两次会议，由董事长召集，于会议召开十日前书面通知全体董事。</w:t>
      </w:r>
    </w:p>
    <w:p w14:paraId="065CFC4C" w14:textId="15308BF5"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代表</w:t>
      </w:r>
      <w:r>
        <w:rPr>
          <w:rFonts w:ascii="宋体" w:hAnsi="宋体" w:cs="Arial" w:hint="eastAsia"/>
          <w:snapToGrid w:val="0"/>
          <w:kern w:val="0"/>
          <w:sz w:val="24"/>
        </w:rPr>
        <w:t>十分之一</w:t>
      </w:r>
      <w:r>
        <w:rPr>
          <w:rFonts w:ascii="宋体" w:hAnsi="宋体" w:cs="Arial"/>
          <w:snapToGrid w:val="0"/>
          <w:kern w:val="0"/>
          <w:sz w:val="24"/>
        </w:rPr>
        <w:t>以上表决权的股东、</w:t>
      </w:r>
      <w:r>
        <w:rPr>
          <w:rFonts w:ascii="宋体" w:hAnsi="宋体" w:cs="Arial" w:hint="eastAsia"/>
          <w:snapToGrid w:val="0"/>
          <w:kern w:val="0"/>
          <w:sz w:val="24"/>
        </w:rPr>
        <w:t>三分之一</w:t>
      </w:r>
      <w:r>
        <w:rPr>
          <w:rFonts w:ascii="宋体" w:hAnsi="宋体" w:cs="Arial"/>
          <w:snapToGrid w:val="0"/>
          <w:kern w:val="0"/>
          <w:sz w:val="24"/>
        </w:rPr>
        <w:t>以上董事或者</w:t>
      </w:r>
      <w:r>
        <w:rPr>
          <w:rFonts w:ascii="宋体" w:hAnsi="宋体" w:cs="Arial" w:hint="eastAsia"/>
          <w:snapToGrid w:val="0"/>
          <w:kern w:val="0"/>
          <w:sz w:val="24"/>
        </w:rPr>
        <w:t>审计委员会</w:t>
      </w:r>
      <w:r>
        <w:rPr>
          <w:rFonts w:ascii="宋体" w:hAnsi="宋体" w:cs="Arial"/>
          <w:snapToGrid w:val="0"/>
          <w:kern w:val="0"/>
          <w:sz w:val="24"/>
        </w:rPr>
        <w:t>，可以提议召开董事会临时会议。董事长应当自接到提议</w:t>
      </w:r>
      <w:r>
        <w:rPr>
          <w:rFonts w:ascii="宋体" w:hAnsi="宋体" w:cs="Arial" w:hint="eastAsia"/>
          <w:snapToGrid w:val="0"/>
          <w:kern w:val="0"/>
          <w:sz w:val="24"/>
        </w:rPr>
        <w:t>后十</w:t>
      </w:r>
      <w:r>
        <w:rPr>
          <w:rFonts w:ascii="宋体" w:hAnsi="宋体" w:cs="Arial"/>
          <w:snapToGrid w:val="0"/>
          <w:kern w:val="0"/>
          <w:sz w:val="24"/>
        </w:rPr>
        <w:t>日内，召集和主持董事会会议。</w:t>
      </w:r>
    </w:p>
    <w:p w14:paraId="3847946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董事会召开临时会议时</w:t>
      </w:r>
      <w:r>
        <w:rPr>
          <w:rFonts w:ascii="宋体" w:hAnsi="宋体" w:cs="Arial" w:hint="eastAsia"/>
          <w:snapToGrid w:val="0"/>
          <w:kern w:val="0"/>
          <w:sz w:val="24"/>
        </w:rPr>
        <w:t>，</w:t>
      </w:r>
      <w:r>
        <w:rPr>
          <w:rFonts w:ascii="宋体" w:hAnsi="宋体" w:cs="Arial"/>
          <w:snapToGrid w:val="0"/>
          <w:kern w:val="0"/>
          <w:sz w:val="24"/>
        </w:rPr>
        <w:t>于会议召开</w:t>
      </w:r>
      <w:r>
        <w:rPr>
          <w:rFonts w:ascii="宋体" w:hAnsi="宋体" w:cs="Arial" w:hint="eastAsia"/>
          <w:snapToGrid w:val="0"/>
          <w:kern w:val="0"/>
          <w:sz w:val="24"/>
        </w:rPr>
        <w:t>两</w:t>
      </w:r>
      <w:r>
        <w:rPr>
          <w:rFonts w:ascii="宋体" w:hAnsi="宋体" w:cs="Arial"/>
          <w:snapToGrid w:val="0"/>
          <w:kern w:val="0"/>
          <w:sz w:val="24"/>
        </w:rPr>
        <w:t>日前以信函、传真、电子邮件等方式通知。</w:t>
      </w:r>
      <w:r>
        <w:rPr>
          <w:rFonts w:ascii="宋体" w:hAnsi="宋体" w:cs="Arial" w:hint="eastAsia"/>
          <w:snapToGrid w:val="0"/>
          <w:kern w:val="0"/>
          <w:sz w:val="24"/>
        </w:rPr>
        <w:t>如遇紧急情况，需要尽快召开董事会临时会议的，可以随时通过口头或者电话等方式发出会议通知，但召集人应当在会议上</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说明。</w:t>
      </w:r>
    </w:p>
    <w:p w14:paraId="2D14EE03"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董事会会议通知包括以下内容：</w:t>
      </w:r>
    </w:p>
    <w:p w14:paraId="16FBC495" w14:textId="77777777" w:rsidR="005A4DB3" w:rsidRDefault="00F11E53">
      <w:pPr>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w:t>
      </w:r>
      <w:proofErr w:type="gramStart"/>
      <w:r>
        <w:rPr>
          <w:rFonts w:ascii="宋体" w:hAnsi="宋体" w:cs="Arial" w:hint="eastAsia"/>
          <w:snapToGrid w:val="0"/>
          <w:kern w:val="0"/>
          <w:sz w:val="24"/>
        </w:rPr>
        <w:t>一</w:t>
      </w:r>
      <w:proofErr w:type="gramEnd"/>
      <w:r>
        <w:rPr>
          <w:rFonts w:ascii="宋体" w:hAnsi="宋体" w:cs="Arial" w:hint="eastAsia"/>
          <w:snapToGrid w:val="0"/>
          <w:kern w:val="0"/>
          <w:sz w:val="24"/>
        </w:rPr>
        <w:t>) 会议日期和地点；</w:t>
      </w:r>
    </w:p>
    <w:p w14:paraId="53B13349" w14:textId="77777777" w:rsidR="005A4DB3" w:rsidRDefault="00F11E53">
      <w:pPr>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 会议期限；</w:t>
      </w:r>
    </w:p>
    <w:p w14:paraId="50096956" w14:textId="77777777" w:rsidR="005A4DB3" w:rsidRDefault="00F11E53">
      <w:pPr>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 事由及议题；</w:t>
      </w:r>
    </w:p>
    <w:p w14:paraId="141ADEB6" w14:textId="77777777" w:rsidR="005A4DB3" w:rsidRDefault="00F11E53">
      <w:pPr>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 发出通知的日期。</w:t>
      </w:r>
    </w:p>
    <w:p w14:paraId="65DEB71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董事会会议应有过半数的董事出席方可举行。董事会</w:t>
      </w:r>
      <w:proofErr w:type="gramStart"/>
      <w:r>
        <w:rPr>
          <w:rFonts w:ascii="宋体" w:hAnsi="宋体" w:cs="Arial"/>
          <w:snapToGrid w:val="0"/>
          <w:kern w:val="0"/>
          <w:sz w:val="24"/>
        </w:rPr>
        <w:t>作出</w:t>
      </w:r>
      <w:proofErr w:type="gramEnd"/>
      <w:r>
        <w:rPr>
          <w:rFonts w:ascii="宋体" w:hAnsi="宋体" w:cs="Arial"/>
          <w:snapToGrid w:val="0"/>
          <w:kern w:val="0"/>
          <w:sz w:val="24"/>
        </w:rPr>
        <w:t>决议，必须经全体董事的过半数通过。</w:t>
      </w:r>
    </w:p>
    <w:p w14:paraId="2C23F349"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董事会决议的表决，实行一人一票。</w:t>
      </w:r>
    </w:p>
    <w:p w14:paraId="7A38F4E2" w14:textId="0275DFB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w:t>
      </w:r>
      <w:r>
        <w:rPr>
          <w:rFonts w:ascii="宋体" w:hAnsi="宋体" w:cs="Arial" w:hint="eastAsia"/>
          <w:snapToGrid w:val="0"/>
          <w:kern w:val="0"/>
          <w:sz w:val="24"/>
        </w:rPr>
        <w:t>三</w:t>
      </w:r>
      <w:r>
        <w:rPr>
          <w:rFonts w:ascii="宋体" w:hAnsi="宋体" w:cs="Arial"/>
          <w:snapToGrid w:val="0"/>
          <w:kern w:val="0"/>
          <w:sz w:val="24"/>
        </w:rPr>
        <w:t>人的，应将该事项提交股东会审议。</w:t>
      </w:r>
    </w:p>
    <w:p w14:paraId="7617793C"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董事会决议表决方式为：记名投票表决。董事会临时会议在保障董事充分表达意见的前提下，可以用传真、视频会议等方式进行并</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决议，并由参会董事签字。</w:t>
      </w:r>
    </w:p>
    <w:p w14:paraId="7D92EBCD"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董事会会议，应由董事本人出席；董事因故不能出席，可以书面委托其他董事代为出席，委托书中应载明代理人的姓名，代理事项、授权范围</w:t>
      </w:r>
      <w:r>
        <w:rPr>
          <w:rFonts w:ascii="宋体" w:hAnsi="宋体" w:cs="Arial"/>
          <w:snapToGrid w:val="0"/>
          <w:kern w:val="0"/>
          <w:sz w:val="24"/>
        </w:rPr>
        <w:lastRenderedPageBreak/>
        <w:t>和有效期限，并由委托人签名或盖章。代为出席会议的董事应当在授权范围内行使董事的权利。董事未出席董事会会议，亦未委托代表出席的，视为放弃在该次会议上的投票权。</w:t>
      </w:r>
    </w:p>
    <w:p w14:paraId="086D252A"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bookmarkStart w:id="67" w:name="_Hlk203417839"/>
      <w:r>
        <w:rPr>
          <w:rFonts w:ascii="宋体" w:hAnsi="宋体" w:cs="Arial"/>
          <w:snapToGrid w:val="0"/>
          <w:kern w:val="0"/>
          <w:sz w:val="24"/>
        </w:rPr>
        <w:t>董事会应当对会议所议事项的决定做成会议记录，出席会议的董事应当在会议记录上签名</w:t>
      </w:r>
      <w:bookmarkEnd w:id="67"/>
      <w:r>
        <w:rPr>
          <w:rFonts w:ascii="宋体" w:hAnsi="宋体" w:cs="Arial"/>
          <w:snapToGrid w:val="0"/>
          <w:kern w:val="0"/>
          <w:sz w:val="24"/>
        </w:rPr>
        <w:t>。</w:t>
      </w:r>
    </w:p>
    <w:p w14:paraId="5E378250"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bookmarkStart w:id="68" w:name="_Hlk203417856"/>
      <w:r>
        <w:rPr>
          <w:rFonts w:ascii="宋体" w:hAnsi="宋体" w:cs="Arial"/>
          <w:snapToGrid w:val="0"/>
          <w:kern w:val="0"/>
          <w:sz w:val="24"/>
        </w:rPr>
        <w:t>董事会会议记录作为公司档案保存，保存期限</w:t>
      </w:r>
      <w:r>
        <w:rPr>
          <w:rFonts w:ascii="宋体" w:hAnsi="宋体" w:cs="Arial" w:hint="eastAsia"/>
          <w:snapToGrid w:val="0"/>
          <w:kern w:val="0"/>
          <w:sz w:val="24"/>
        </w:rPr>
        <w:t>不少于十</w:t>
      </w:r>
      <w:r>
        <w:rPr>
          <w:rFonts w:ascii="宋体" w:hAnsi="宋体" w:cs="Arial"/>
          <w:snapToGrid w:val="0"/>
          <w:kern w:val="0"/>
          <w:sz w:val="24"/>
        </w:rPr>
        <w:t>年。</w:t>
      </w:r>
    </w:p>
    <w:bookmarkEnd w:id="68"/>
    <w:p w14:paraId="128F30E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董事会会议记录包括以下内容：</w:t>
      </w:r>
    </w:p>
    <w:p w14:paraId="1A53A85F"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bookmarkStart w:id="69" w:name="_Hlk203417779"/>
      <w:r>
        <w:rPr>
          <w:rFonts w:ascii="宋体" w:hAnsi="宋体" w:cs="Arial"/>
          <w:snapToGrid w:val="0"/>
          <w:kern w:val="0"/>
          <w:sz w:val="24"/>
        </w:rPr>
        <w:t>（一）会议召开的日期、地点和召集人姓名；</w:t>
      </w:r>
    </w:p>
    <w:p w14:paraId="166EFC90"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（二）出席董事的姓名以及受他人委托出席董事会的董事（代理人）姓名；</w:t>
      </w:r>
    </w:p>
    <w:p w14:paraId="3ADBCEB2"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（三）会议议程；</w:t>
      </w:r>
    </w:p>
    <w:p w14:paraId="1D9546DA"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（四）董事发言要点；</w:t>
      </w:r>
    </w:p>
    <w:p w14:paraId="02CBD7EA"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snapToGrid w:val="0"/>
          <w:kern w:val="0"/>
          <w:sz w:val="24"/>
        </w:rPr>
        <w:t>（五）每一决议事项的表决方式和结果（表决结果应载明赞成、反对或弃权的票数）。</w:t>
      </w:r>
    </w:p>
    <w:p w14:paraId="6126E0C1" w14:textId="77777777" w:rsidR="005A4DB3" w:rsidRDefault="00F11E53">
      <w:pPr>
        <w:pStyle w:val="2"/>
        <w:spacing w:beforeLines="50" w:before="156" w:afterLines="50" w:after="156" w:line="360" w:lineRule="auto"/>
        <w:rPr>
          <w:snapToGrid w:val="0"/>
          <w:kern w:val="0"/>
        </w:rPr>
      </w:pPr>
      <w:bookmarkStart w:id="70" w:name="_Toc212813230"/>
      <w:bookmarkEnd w:id="69"/>
      <w:r>
        <w:rPr>
          <w:rFonts w:hint="eastAsia"/>
          <w:snapToGrid w:val="0"/>
          <w:kern w:val="0"/>
        </w:rPr>
        <w:t>第三节</w:t>
      </w:r>
      <w:r>
        <w:rPr>
          <w:rFonts w:hint="eastAsia"/>
          <w:snapToGrid w:val="0"/>
          <w:kern w:val="0"/>
        </w:rPr>
        <w:t xml:space="preserve">  </w:t>
      </w:r>
      <w:r w:rsidRPr="00292011">
        <w:rPr>
          <w:rFonts w:hint="eastAsia"/>
          <w:snapToGrid w:val="0"/>
          <w:kern w:val="0"/>
        </w:rPr>
        <w:t>独立董事</w:t>
      </w:r>
      <w:bookmarkEnd w:id="70"/>
    </w:p>
    <w:p w14:paraId="2B894786"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独立董事应按照法律、行政法规、中国证监会、证券交易所和本章程的规定，认真履行职责，在董事会中发挥参与决策、监督制衡、专业咨询作用，维护公司整体利益，保护中小股东合法权益。 </w:t>
      </w:r>
    </w:p>
    <w:p w14:paraId="4C89B061"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独立董事必须保持独立性。下列人员不得担任独立董事：</w:t>
      </w:r>
    </w:p>
    <w:p w14:paraId="594044C4" w14:textId="77777777" w:rsidR="005A4DB3" w:rsidRDefault="00F11E53" w:rsidP="0020309D">
      <w:pPr>
        <w:adjustRightInd w:val="0"/>
        <w:snapToGrid w:val="0"/>
        <w:spacing w:beforeLines="50" w:before="156" w:afterLines="50" w:after="156" w:line="360" w:lineRule="auto"/>
        <w:ind w:firstLineChars="100" w:firstLine="240"/>
        <w:rPr>
          <w:rFonts w:ascii="宋体" w:hAnsi="宋体" w:cs="Arial" w:hint="eastAsia"/>
          <w:snapToGrid w:val="0"/>
          <w:kern w:val="0"/>
          <w:sz w:val="24"/>
        </w:rPr>
      </w:pPr>
      <w:r>
        <w:rPr>
          <w:rFonts w:ascii="宋体" w:hAnsi="宋体" w:cs="Arial" w:hint="eastAsia"/>
          <w:snapToGrid w:val="0"/>
          <w:kern w:val="0"/>
          <w:sz w:val="24"/>
        </w:rPr>
        <w:t>（一）在公司或者其附属企业任职的人员及其配偶、父母、子女、主要社会关系；</w:t>
      </w:r>
    </w:p>
    <w:p w14:paraId="119AF0A4"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（二）直接或者间接持有公司已发行股份百分之一以上或者是公司前十名股东中的自然人股东及其配偶、父母、子女；</w:t>
      </w:r>
    </w:p>
    <w:p w14:paraId="000E8A77"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（三）在直接或者间接持有公司已发行股份百分之五以上的股东或者在公司前五名股东任职的人员及其配偶、父母、子女；</w:t>
      </w:r>
    </w:p>
    <w:p w14:paraId="48E2A443"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（四）在公司控股股东、实际控制人的附属企业任职的人员及其配偶、父母、</w:t>
      </w:r>
      <w:r>
        <w:rPr>
          <w:rFonts w:ascii="宋体" w:hAnsi="宋体" w:cs="Arial" w:hint="eastAsia"/>
          <w:snapToGrid w:val="0"/>
          <w:kern w:val="0"/>
          <w:sz w:val="24"/>
        </w:rPr>
        <w:lastRenderedPageBreak/>
        <w:t>子女；</w:t>
      </w:r>
    </w:p>
    <w:p w14:paraId="39C47E8D"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（五）与公司及其控股股东、实际控制人或者其各自的附属企业有重大业务往来的人员，或者在有重大业务往来的单位及其控股股东、实际控制人任职的人员；</w:t>
      </w:r>
    </w:p>
    <w:p w14:paraId="4237B107"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6D8F3028"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（七）最近十二个月内曾经具有第一项至第六项所列举情形的人员；</w:t>
      </w:r>
    </w:p>
    <w:p w14:paraId="29376DD6"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（八）法律、行政法规、中国证监会规定、证券交易所业务规则和本章程规定的不具备独立性的其他人员。</w:t>
      </w:r>
    </w:p>
    <w:p w14:paraId="4E7D7598"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前款第四项至第六项中的公司控股股东、实际控制人的附属企业，不包括与公司受同一国有资产管理机构控制</w:t>
      </w:r>
      <w:proofErr w:type="gramStart"/>
      <w:r>
        <w:rPr>
          <w:rFonts w:ascii="宋体" w:hAnsi="宋体" w:cs="Arial" w:hint="eastAsia"/>
          <w:snapToGrid w:val="0"/>
          <w:kern w:val="0"/>
          <w:sz w:val="24"/>
        </w:rPr>
        <w:t>且按照</w:t>
      </w:r>
      <w:proofErr w:type="gramEnd"/>
      <w:r>
        <w:rPr>
          <w:rFonts w:ascii="宋体" w:hAnsi="宋体" w:cs="Arial" w:hint="eastAsia"/>
          <w:snapToGrid w:val="0"/>
          <w:kern w:val="0"/>
          <w:sz w:val="24"/>
        </w:rPr>
        <w:t>相关规定未与公司构成关联关系的企业。</w:t>
      </w:r>
    </w:p>
    <w:p w14:paraId="3E1533AB"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独立董事应当每年对独立性情况进行自查，并将自查情况提交董事会。董事会应当每年对在任独立董事独立性情况进行评估并出具专项意见，与年度报告同时披露。 </w:t>
      </w:r>
    </w:p>
    <w:p w14:paraId="4E6BECBB"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担任公司独立董事应当符合下列条件：</w:t>
      </w:r>
    </w:p>
    <w:p w14:paraId="1D6591F6"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（一）根据法律、行政法规和其他有关规定，具备担任上市公司董事的资格；</w:t>
      </w:r>
    </w:p>
    <w:p w14:paraId="5C9D3D8B"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（二）符合本章程规定的独立性要求；</w:t>
      </w:r>
    </w:p>
    <w:p w14:paraId="174ED9A9"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（三）具备上市公司运作的基本知识，熟悉相关法律法规和规则；</w:t>
      </w:r>
    </w:p>
    <w:p w14:paraId="4700EBE8"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（四）具有五年以上履行独立董事职责所必需的法律、会计或者经济等工作经验；</w:t>
      </w:r>
    </w:p>
    <w:p w14:paraId="0966F003"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（五）具有良好的个人品德，不存在重大失信等不良记录；</w:t>
      </w:r>
    </w:p>
    <w:p w14:paraId="4D125691"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 xml:space="preserve">（六）法律、行政法规、中国证监会规定、证券交易所业务规则和本章程规定的其他条件。 </w:t>
      </w:r>
    </w:p>
    <w:p w14:paraId="538FCA59"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独立董事作为董事会的成员，对公司及全体股东负有忠实义</w:t>
      </w:r>
      <w:r>
        <w:rPr>
          <w:rFonts w:ascii="宋体" w:hAnsi="宋体" w:cs="Arial" w:hint="eastAsia"/>
          <w:snapToGrid w:val="0"/>
          <w:kern w:val="0"/>
          <w:sz w:val="24"/>
        </w:rPr>
        <w:lastRenderedPageBreak/>
        <w:t>务、勤勉义务，</w:t>
      </w:r>
      <w:proofErr w:type="gramStart"/>
      <w:r>
        <w:rPr>
          <w:rFonts w:ascii="宋体" w:hAnsi="宋体" w:cs="Arial" w:hint="eastAsia"/>
          <w:snapToGrid w:val="0"/>
          <w:kern w:val="0"/>
          <w:sz w:val="24"/>
        </w:rPr>
        <w:t>审慎履行</w:t>
      </w:r>
      <w:proofErr w:type="gramEnd"/>
      <w:r>
        <w:rPr>
          <w:rFonts w:ascii="宋体" w:hAnsi="宋体" w:cs="Arial" w:hint="eastAsia"/>
          <w:snapToGrid w:val="0"/>
          <w:kern w:val="0"/>
          <w:sz w:val="24"/>
        </w:rPr>
        <w:t>下列职责：</w:t>
      </w:r>
    </w:p>
    <w:p w14:paraId="4E5291B9"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（一）参与董事会决策并对所议事</w:t>
      </w:r>
      <w:proofErr w:type="gramStart"/>
      <w:r>
        <w:rPr>
          <w:rFonts w:ascii="宋体" w:hAnsi="宋体" w:cs="Arial" w:hint="eastAsia"/>
          <w:snapToGrid w:val="0"/>
          <w:kern w:val="0"/>
          <w:sz w:val="24"/>
        </w:rPr>
        <w:t>项发表</w:t>
      </w:r>
      <w:proofErr w:type="gramEnd"/>
      <w:r>
        <w:rPr>
          <w:rFonts w:ascii="宋体" w:hAnsi="宋体" w:cs="Arial" w:hint="eastAsia"/>
          <w:snapToGrid w:val="0"/>
          <w:kern w:val="0"/>
          <w:sz w:val="24"/>
        </w:rPr>
        <w:t>明确意见；</w:t>
      </w:r>
    </w:p>
    <w:p w14:paraId="50AD346E" w14:textId="77777777" w:rsidR="005A4DB3" w:rsidRDefault="00F11E53" w:rsidP="00292011">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（二）对公司与控股股东、实际控制人、董事、高级管理人员之间的潜在重大利益冲突事项进行监督，保护中小股东合法权益；</w:t>
      </w:r>
    </w:p>
    <w:p w14:paraId="1FC15214"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（三）对公司经营发展提供专业、客观的建议，促进提升董事会决策水平；</w:t>
      </w:r>
    </w:p>
    <w:p w14:paraId="5676953E"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 xml:space="preserve">（四）法律、行政法规、中国证监会规定和本章程规定的其他职责。 </w:t>
      </w:r>
    </w:p>
    <w:p w14:paraId="1E484C68"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独立董事行使下列特别职权：</w:t>
      </w:r>
    </w:p>
    <w:p w14:paraId="56A8064D"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（一）独立聘请中介机构，对公司具体事项进行审计、咨询或者核查；</w:t>
      </w:r>
    </w:p>
    <w:p w14:paraId="07068D9F"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（二）向董事会提议召开临时股东会；</w:t>
      </w:r>
    </w:p>
    <w:p w14:paraId="2173B17B"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（三）提议召开董事会会议；</w:t>
      </w:r>
    </w:p>
    <w:p w14:paraId="6E6C6F4F"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（四）依法公开向股东征集股东权利；</w:t>
      </w:r>
    </w:p>
    <w:p w14:paraId="50F7094F"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（五）对可能损害公司或者中小股东权益的事项发表独立意见；</w:t>
      </w:r>
    </w:p>
    <w:p w14:paraId="302CECD9"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（六）法律、行政法规、中国证监会规定和本章程规定的其他职权。</w:t>
      </w:r>
    </w:p>
    <w:p w14:paraId="46870FCE" w14:textId="77777777" w:rsidR="005A4DB3" w:rsidRDefault="00F11E53" w:rsidP="00292011">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独立董事行使前款第一项至第三项所列职权的，应当经全体独立董事过半数同意。</w:t>
      </w:r>
    </w:p>
    <w:p w14:paraId="46763CE9"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 xml:space="preserve">独立董事行使第一款所列职权的，公司将及时披露。上述职权不能正常行使的，公司将披露具体情况和理由。 </w:t>
      </w:r>
    </w:p>
    <w:p w14:paraId="410B7FC6"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下列事项应当经公司全体独立董事过半数同意后，提交董事会审议：</w:t>
      </w:r>
    </w:p>
    <w:p w14:paraId="7131B38E"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（一）应当披露的关联交易；</w:t>
      </w:r>
    </w:p>
    <w:p w14:paraId="1AC24C9E" w14:textId="77777777" w:rsidR="005A4DB3" w:rsidRDefault="00F11E53" w:rsidP="00292011">
      <w:pPr>
        <w:adjustRightInd w:val="0"/>
        <w:snapToGrid w:val="0"/>
        <w:spacing w:beforeLines="50" w:before="156" w:afterLines="50" w:after="156" w:line="360" w:lineRule="auto"/>
        <w:ind w:firstLineChars="100" w:firstLine="240"/>
        <w:rPr>
          <w:rFonts w:ascii="宋体" w:hAnsi="宋体" w:cs="Arial" w:hint="eastAsia"/>
          <w:snapToGrid w:val="0"/>
          <w:kern w:val="0"/>
          <w:sz w:val="24"/>
        </w:rPr>
      </w:pPr>
      <w:r>
        <w:rPr>
          <w:rFonts w:ascii="宋体" w:hAnsi="宋体" w:cs="Arial" w:hint="eastAsia"/>
          <w:snapToGrid w:val="0"/>
          <w:kern w:val="0"/>
          <w:sz w:val="24"/>
        </w:rPr>
        <w:t xml:space="preserve">　（二）公司及相关方变更或者豁免承诺的方案；</w:t>
      </w:r>
    </w:p>
    <w:p w14:paraId="2B0210F5"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（三）被收购上市公司董事会针对收购所</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的决策及采取的措施；</w:t>
      </w:r>
    </w:p>
    <w:p w14:paraId="09514C64"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 xml:space="preserve">（四）法律、行政法规、中国证监会规定和本章程规定的其他事项。 </w:t>
      </w:r>
    </w:p>
    <w:p w14:paraId="0EEC5373"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公司建立全部由独立董事参加的专门会议机制。董事会审议关联交易等事项的，由独立董事专门会议事先认可。</w:t>
      </w:r>
    </w:p>
    <w:p w14:paraId="1B4A2252"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公司定期或者不定期召开独立董事专门会议。本章程第一百三十条第一款第（一）项至第（三）项、第一百三十一条所列事项，应当经独立董事专门会议审议。</w:t>
      </w:r>
    </w:p>
    <w:p w14:paraId="06135878"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独立董事专门会议可以根据需要研究讨论公司其他事项。</w:t>
      </w:r>
    </w:p>
    <w:p w14:paraId="2F359B4F"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独立董事专门会议由过半数独立董事共同推举一名独立董事召集和主持；召集人不履职或者不能履职时，两名及以上独立董事可以自行召集并推举一名代表主持。</w:t>
      </w:r>
    </w:p>
    <w:p w14:paraId="3693E384"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独立董事专门会议应当按规定制作会议记录，独立董事的意见应当在会议记录中载明。独立董事应当对会议记录签字确认。</w:t>
      </w:r>
    </w:p>
    <w:p w14:paraId="628C132C" w14:textId="77777777" w:rsidR="005A4DB3" w:rsidRDefault="00F11E53">
      <w:pPr>
        <w:adjustRightInd w:val="0"/>
        <w:snapToGrid w:val="0"/>
        <w:spacing w:beforeLines="50" w:before="156" w:afterLines="50" w:after="156" w:line="360" w:lineRule="auto"/>
        <w:ind w:firstLine="480"/>
        <w:rPr>
          <w:rFonts w:ascii="宋体" w:hAnsi="宋体" w:cs="Arial" w:hint="eastAsia"/>
          <w:snapToGrid w:val="0"/>
          <w:kern w:val="0"/>
          <w:sz w:val="24"/>
        </w:rPr>
      </w:pPr>
      <w:r>
        <w:rPr>
          <w:rFonts w:ascii="宋体" w:hAnsi="宋体" w:cs="Arial" w:hint="eastAsia"/>
          <w:snapToGrid w:val="0"/>
          <w:kern w:val="0"/>
          <w:sz w:val="24"/>
        </w:rPr>
        <w:t>公司为独立董事专门会议的召开提供便利和支持。</w:t>
      </w:r>
    </w:p>
    <w:p w14:paraId="32C85F1E" w14:textId="77777777" w:rsidR="005A4DB3" w:rsidRDefault="00F11E53">
      <w:pPr>
        <w:pStyle w:val="2"/>
        <w:spacing w:beforeLines="50" w:before="156" w:afterLines="50" w:after="156" w:line="360" w:lineRule="auto"/>
        <w:rPr>
          <w:snapToGrid w:val="0"/>
          <w:kern w:val="0"/>
        </w:rPr>
      </w:pPr>
      <w:bookmarkStart w:id="71" w:name="_Toc212813231"/>
      <w:r>
        <w:rPr>
          <w:rFonts w:hint="eastAsia"/>
          <w:snapToGrid w:val="0"/>
          <w:kern w:val="0"/>
        </w:rPr>
        <w:t>第四节</w:t>
      </w:r>
      <w:r>
        <w:rPr>
          <w:rFonts w:hint="eastAsia"/>
          <w:snapToGrid w:val="0"/>
          <w:kern w:val="0"/>
        </w:rPr>
        <w:t xml:space="preserve"> </w:t>
      </w:r>
      <w:r w:rsidRPr="00292011">
        <w:rPr>
          <w:rFonts w:hint="eastAsia"/>
          <w:snapToGrid w:val="0"/>
          <w:kern w:val="0"/>
        </w:rPr>
        <w:t>董事会专门委员会</w:t>
      </w:r>
      <w:bookmarkEnd w:id="71"/>
    </w:p>
    <w:p w14:paraId="4BF5DD76"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公司董事会设置审计委员会，行使《公司法》规定的监事会的职权。 </w:t>
      </w:r>
    </w:p>
    <w:p w14:paraId="323DD05C"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审计委员会成员为3名，为不在公司担任高级管理人员的董事，其中独立董事2名，由独立董事中会计专业人士担任召集人。 </w:t>
      </w:r>
    </w:p>
    <w:p w14:paraId="086F20C2"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审计委员会负责审核公司财务信息及其披露、监督及评估内外部审计工作和内部控制，下列事项应当经审计委员会全体成员过半数同意后，提交董事会审议：</w:t>
      </w:r>
    </w:p>
    <w:p w14:paraId="2A4862F5"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（一）披露财务会计报告及定期报告中的财务信息、内部控制评价报告；</w:t>
      </w:r>
    </w:p>
    <w:p w14:paraId="3609187D"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（二）聘用或者解聘承办上市公司审计业务的会计师事务所；</w:t>
      </w:r>
    </w:p>
    <w:p w14:paraId="15FD31D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（三）聘任或者解聘上市公司财务总监；</w:t>
      </w:r>
    </w:p>
    <w:p w14:paraId="2D6D5142"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（四）因会计准则变更以外的原因</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会计政策、会计估计变更或者重大会计差错更正；</w:t>
      </w:r>
    </w:p>
    <w:p w14:paraId="55D3102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lastRenderedPageBreak/>
        <w:t xml:space="preserve">　　（五）法律、行政法规、中国证监会规定和本章程规定的其他事项。 </w:t>
      </w:r>
    </w:p>
    <w:p w14:paraId="1D1F13A4"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审计委员会每季度至少召开一次会议。两名及以上成员提议，或者召集人认为有必要时，可以召开临时会议。审计委员会会议须有三分之二以上成员出席方可举行。</w:t>
      </w:r>
    </w:p>
    <w:p w14:paraId="4C4136E5"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审计委员会</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决议，应当经审计委员会成员的过半数通过。</w:t>
      </w:r>
    </w:p>
    <w:p w14:paraId="7CE3D17E"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审计委员会决议的表决，应当一人一票。</w:t>
      </w:r>
    </w:p>
    <w:p w14:paraId="4AE8DAF7"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审计委员会决议应当按规定制作会议记录，出席会议的审计委员会成员应当在会议记录上签名。</w:t>
      </w:r>
    </w:p>
    <w:p w14:paraId="41F8AF8A" w14:textId="18863A42"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审计委员会工作规程由董事会负责制定。 </w:t>
      </w:r>
    </w:p>
    <w:p w14:paraId="7C7320D0"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公司董事会设置战略、提名、薪酬与考核等其他专门委员会，依照本章程和董事会授权履行职责，专门委员会的提案应当提交董事会审议决定。专门委员会工作规程由董事会负责制定。</w:t>
      </w:r>
    </w:p>
    <w:p w14:paraId="67BECA0A"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提名委员会负责拟定董事、高级管理人员的选择标准和程序，对董事、高级管理人员人选及其任职资格进行遴选、审核，并就下列事项向董事会提出建议：</w:t>
      </w:r>
    </w:p>
    <w:p w14:paraId="1D59D2DA"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（一）提名或者任免董事；</w:t>
      </w:r>
    </w:p>
    <w:p w14:paraId="19FABA4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（二）聘任或者解聘高级管理人员；</w:t>
      </w:r>
    </w:p>
    <w:p w14:paraId="42C921C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（三）法律、行政法规、中国证监会规定和本章程规定的其他事项。</w:t>
      </w:r>
    </w:p>
    <w:p w14:paraId="39212C3A"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董事会对提名委员会的建议未采纳或者未完全采纳的，应当在董事会决议中记载提名委员会的意见及未采纳的具体理由，并进行披露。</w:t>
      </w:r>
    </w:p>
    <w:p w14:paraId="48AA869C"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薪酬与考核委员会负责制定董事、高级管理人员的考核标准并进行考核，制定、审查董事、高级管理人员的薪酬决定机制、决策流程、支付与止付追索安排等薪酬政策与方案，并就下列事项向董事会提出建议：</w:t>
      </w:r>
    </w:p>
    <w:p w14:paraId="50FAEAD5"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（一）董事、高级管理人员的薪酬；</w:t>
      </w:r>
    </w:p>
    <w:p w14:paraId="450FD741"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（二）制定或者变更股权激励计划、员工持股计划，激励</w:t>
      </w:r>
      <w:proofErr w:type="gramStart"/>
      <w:r>
        <w:rPr>
          <w:rFonts w:ascii="宋体" w:hAnsi="宋体" w:cs="Arial" w:hint="eastAsia"/>
          <w:snapToGrid w:val="0"/>
          <w:kern w:val="0"/>
          <w:sz w:val="24"/>
        </w:rPr>
        <w:t>对象获</w:t>
      </w:r>
      <w:proofErr w:type="gramEnd"/>
      <w:r>
        <w:rPr>
          <w:rFonts w:ascii="宋体" w:hAnsi="宋体" w:cs="Arial" w:hint="eastAsia"/>
          <w:snapToGrid w:val="0"/>
          <w:kern w:val="0"/>
          <w:sz w:val="24"/>
        </w:rPr>
        <w:t>授权益、行</w:t>
      </w:r>
      <w:r>
        <w:rPr>
          <w:rFonts w:ascii="宋体" w:hAnsi="宋体" w:cs="Arial" w:hint="eastAsia"/>
          <w:snapToGrid w:val="0"/>
          <w:kern w:val="0"/>
          <w:sz w:val="24"/>
        </w:rPr>
        <w:lastRenderedPageBreak/>
        <w:t>使权益条件的成就；</w:t>
      </w:r>
    </w:p>
    <w:p w14:paraId="0BC1A55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（三）董事、高级管理人员在拟分拆所属子公司安排持股计划；</w:t>
      </w:r>
    </w:p>
    <w:p w14:paraId="1EF0D472"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（四）法律、行政法规、中国证监会规定和本章程规定的其他事项。</w:t>
      </w:r>
    </w:p>
    <w:p w14:paraId="1812EB17"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董事会对薪酬与考核委员会的建议未采纳或者未完全采纳的，应当在董事会决议中记载薪酬与考核委员会的意见及未采纳的具体理由，并进行披露。</w:t>
      </w:r>
    </w:p>
    <w:p w14:paraId="28D18462" w14:textId="7075BC09" w:rsidR="005A4DB3" w:rsidRDefault="00F11E53">
      <w:pPr>
        <w:pStyle w:val="1"/>
        <w:spacing w:beforeLines="50" w:before="156" w:afterLines="50" w:after="156" w:line="360" w:lineRule="auto"/>
      </w:pPr>
      <w:bookmarkStart w:id="72" w:name="_Toc414213722"/>
      <w:bookmarkStart w:id="73" w:name="_Toc495415951"/>
      <w:bookmarkStart w:id="74" w:name="_Toc212813232"/>
      <w:r>
        <w:rPr>
          <w:rFonts w:hint="eastAsia"/>
        </w:rPr>
        <w:t>第六章</w:t>
      </w:r>
      <w:r>
        <w:rPr>
          <w:rFonts w:hint="eastAsia"/>
        </w:rPr>
        <w:t xml:space="preserve"> </w:t>
      </w:r>
      <w:r>
        <w:rPr>
          <w:rFonts w:hint="eastAsia"/>
        </w:rPr>
        <w:t>高级管理人员</w:t>
      </w:r>
      <w:bookmarkEnd w:id="72"/>
      <w:bookmarkEnd w:id="73"/>
      <w:bookmarkEnd w:id="74"/>
    </w:p>
    <w:p w14:paraId="08D071D5" w14:textId="459E36B1"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公司设总经理</w:t>
      </w:r>
      <w:r>
        <w:rPr>
          <w:rFonts w:ascii="宋体" w:hAnsi="宋体" w:cs="Arial" w:hint="eastAsia"/>
          <w:snapToGrid w:val="0"/>
          <w:kern w:val="0"/>
          <w:sz w:val="24"/>
        </w:rPr>
        <w:t>一</w:t>
      </w:r>
      <w:r>
        <w:rPr>
          <w:rFonts w:ascii="宋体" w:hAnsi="宋体" w:cs="Arial"/>
          <w:snapToGrid w:val="0"/>
          <w:kern w:val="0"/>
          <w:sz w:val="24"/>
        </w:rPr>
        <w:t>名，由董事会聘任或解聘。</w:t>
      </w:r>
      <w:r>
        <w:rPr>
          <w:rFonts w:ascii="宋体" w:hAnsi="宋体" w:cs="Arial"/>
          <w:snapToGrid w:val="0"/>
          <w:color w:val="000000"/>
          <w:kern w:val="0"/>
          <w:sz w:val="24"/>
        </w:rPr>
        <w:t>公司设副总经理</w:t>
      </w:r>
      <w:r>
        <w:rPr>
          <w:rFonts w:ascii="宋体" w:hAnsi="宋体" w:cs="Arial" w:hint="eastAsia"/>
          <w:snapToGrid w:val="0"/>
          <w:color w:val="000000"/>
          <w:kern w:val="0"/>
          <w:sz w:val="24"/>
        </w:rPr>
        <w:t>若干名、总工程师一名，</w:t>
      </w:r>
      <w:r>
        <w:rPr>
          <w:rFonts w:ascii="宋体" w:hAnsi="宋体" w:cs="Arial"/>
          <w:snapToGrid w:val="0"/>
          <w:color w:val="000000"/>
          <w:kern w:val="0"/>
          <w:sz w:val="24"/>
        </w:rPr>
        <w:t>财务总监</w:t>
      </w:r>
      <w:r>
        <w:rPr>
          <w:rFonts w:ascii="宋体" w:hAnsi="宋体" w:cs="Arial" w:hint="eastAsia"/>
          <w:snapToGrid w:val="0"/>
          <w:color w:val="000000"/>
          <w:kern w:val="0"/>
          <w:sz w:val="24"/>
        </w:rPr>
        <w:t>一</w:t>
      </w:r>
      <w:r>
        <w:rPr>
          <w:rFonts w:ascii="宋体" w:hAnsi="宋体" w:cs="Arial"/>
          <w:snapToGrid w:val="0"/>
          <w:color w:val="000000"/>
          <w:kern w:val="0"/>
          <w:sz w:val="24"/>
        </w:rPr>
        <w:t>名，</w:t>
      </w:r>
      <w:r>
        <w:rPr>
          <w:rFonts w:ascii="宋体" w:hAnsi="宋体" w:cs="Arial" w:hint="eastAsia"/>
          <w:snapToGrid w:val="0"/>
          <w:color w:val="000000"/>
          <w:kern w:val="0"/>
          <w:sz w:val="24"/>
        </w:rPr>
        <w:t>董事会秘书一名，</w:t>
      </w:r>
      <w:r>
        <w:rPr>
          <w:rFonts w:ascii="宋体" w:hAnsi="宋体" w:cs="Arial"/>
          <w:snapToGrid w:val="0"/>
          <w:color w:val="000000"/>
          <w:kern w:val="0"/>
          <w:sz w:val="24"/>
        </w:rPr>
        <w:t>均</w:t>
      </w:r>
      <w:r>
        <w:rPr>
          <w:rFonts w:ascii="宋体" w:hAnsi="宋体" w:cs="Arial"/>
          <w:snapToGrid w:val="0"/>
          <w:kern w:val="0"/>
          <w:sz w:val="24"/>
        </w:rPr>
        <w:t>由董事会聘任或解聘。</w:t>
      </w:r>
    </w:p>
    <w:p w14:paraId="3FAB9DC5" w14:textId="135FE99D"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公司总经理、副总经理、财务总监、总工程师、董事会秘书为公司高级管理人员。</w:t>
      </w:r>
    </w:p>
    <w:p w14:paraId="35D05A8B" w14:textId="6191E2F5"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sidRPr="00292011">
        <w:rPr>
          <w:rFonts w:ascii="宋体" w:hAnsi="宋体" w:cs="Arial" w:hint="eastAsia"/>
          <w:snapToGrid w:val="0"/>
          <w:kern w:val="0"/>
          <w:sz w:val="24"/>
        </w:rPr>
        <w:t>本章程不得担任董事的情形</w:t>
      </w:r>
      <w:r>
        <w:rPr>
          <w:rFonts w:ascii="宋体" w:hAnsi="宋体" w:cs="Arial" w:hint="eastAsia"/>
          <w:snapToGrid w:val="0"/>
          <w:kern w:val="0"/>
          <w:sz w:val="24"/>
        </w:rPr>
        <w:t>、离职管理制度的规定</w:t>
      </w:r>
      <w:r w:rsidRPr="00292011">
        <w:rPr>
          <w:rFonts w:ascii="宋体" w:hAnsi="宋体" w:cs="Arial" w:hint="eastAsia"/>
          <w:snapToGrid w:val="0"/>
          <w:kern w:val="0"/>
          <w:sz w:val="24"/>
        </w:rPr>
        <w:t>，同时适用于高级管理人员。</w:t>
      </w:r>
    </w:p>
    <w:p w14:paraId="152E6762" w14:textId="1D00C31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本</w:t>
      </w:r>
      <w:r>
        <w:rPr>
          <w:rFonts w:ascii="宋体" w:hAnsi="宋体" w:cs="Arial"/>
          <w:snapToGrid w:val="0"/>
          <w:kern w:val="0"/>
          <w:sz w:val="24"/>
        </w:rPr>
        <w:t>章程关于董事的忠实义务和勤勉义务的规定，同时适用于高级管理人员。</w:t>
      </w:r>
    </w:p>
    <w:p w14:paraId="3040C8C2"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在公司控股股东</w:t>
      </w:r>
      <w:r>
        <w:rPr>
          <w:rFonts w:ascii="宋体" w:hAnsi="宋体" w:cs="Arial" w:hint="eastAsia"/>
          <w:snapToGrid w:val="0"/>
          <w:kern w:val="0"/>
          <w:sz w:val="24"/>
        </w:rPr>
        <w:t>单位、实际控制人控制的其他公司担任除董事、监事以外其他行政职务的人员，不得担任公司的高级管理人员。公司高级管理人员不得在控股股东、实际控制人及其控制的其他单位领取薪酬。</w:t>
      </w:r>
    </w:p>
    <w:p w14:paraId="4062901F"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总经理每届</w:t>
      </w:r>
      <w:r>
        <w:rPr>
          <w:rFonts w:ascii="宋体" w:hAnsi="宋体" w:cs="Arial" w:hint="eastAsia"/>
          <w:snapToGrid w:val="0"/>
          <w:kern w:val="0"/>
          <w:sz w:val="24"/>
        </w:rPr>
        <w:t>任期为三年</w:t>
      </w:r>
      <w:r>
        <w:rPr>
          <w:rFonts w:ascii="宋体" w:hAnsi="宋体" w:cs="Arial"/>
          <w:snapToGrid w:val="0"/>
          <w:kern w:val="0"/>
          <w:sz w:val="24"/>
        </w:rPr>
        <w:t>，总经理可以连聘连任。</w:t>
      </w:r>
    </w:p>
    <w:p w14:paraId="203FC058"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总经理对董事会负责，行使下列职权：</w:t>
      </w:r>
    </w:p>
    <w:p w14:paraId="48C2A39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（一）主持公司的生产经营管理工作，组织实施董事会决议，并向董事会报告工作；</w:t>
      </w:r>
    </w:p>
    <w:p w14:paraId="6E0ADDD3"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（二）组织实施公司年度经营计划和投资方案；</w:t>
      </w:r>
    </w:p>
    <w:p w14:paraId="31ECDF2A"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（三）拟订公司内部管理机构设置方案；</w:t>
      </w:r>
    </w:p>
    <w:p w14:paraId="673A1D4E"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（四）拟订公司的基本管理制度；</w:t>
      </w:r>
    </w:p>
    <w:p w14:paraId="3B832B61"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（五）制</w:t>
      </w:r>
      <w:r>
        <w:rPr>
          <w:rFonts w:ascii="宋体" w:hAnsi="宋体" w:cs="Arial" w:hint="eastAsia"/>
          <w:snapToGrid w:val="0"/>
          <w:kern w:val="0"/>
          <w:sz w:val="24"/>
        </w:rPr>
        <w:t>订</w:t>
      </w:r>
      <w:r>
        <w:rPr>
          <w:rFonts w:ascii="宋体" w:hAnsi="宋体" w:cs="Arial"/>
          <w:snapToGrid w:val="0"/>
          <w:kern w:val="0"/>
          <w:sz w:val="24"/>
        </w:rPr>
        <w:t>公司的具体规章；</w:t>
      </w:r>
    </w:p>
    <w:p w14:paraId="3223ED40" w14:textId="5E092449"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lastRenderedPageBreak/>
        <w:t xml:space="preserve">　　（六）提请董事会聘任或者解聘公司副总经理、</w:t>
      </w:r>
      <w:r>
        <w:rPr>
          <w:rFonts w:ascii="宋体" w:hAnsi="宋体" w:cs="Arial" w:hint="eastAsia"/>
          <w:snapToGrid w:val="0"/>
          <w:kern w:val="0"/>
          <w:sz w:val="24"/>
        </w:rPr>
        <w:t>财务总监</w:t>
      </w:r>
      <w:r>
        <w:rPr>
          <w:rFonts w:ascii="宋体" w:hAnsi="宋体" w:cs="Arial"/>
          <w:snapToGrid w:val="0"/>
          <w:kern w:val="0"/>
          <w:sz w:val="24"/>
        </w:rPr>
        <w:t>、总工程师等高级管理人员</w:t>
      </w:r>
      <w:r w:rsidR="00327BDC">
        <w:rPr>
          <w:rFonts w:ascii="宋体" w:hAnsi="宋体" w:cs="Arial" w:hint="eastAsia"/>
          <w:snapToGrid w:val="0"/>
          <w:kern w:val="0"/>
          <w:sz w:val="24"/>
        </w:rPr>
        <w:t>；</w:t>
      </w:r>
    </w:p>
    <w:p w14:paraId="27516EE4"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（七）决定聘任或者解聘除应由董事会决定聘任或者解聘以外的负责管理人员；</w:t>
      </w:r>
    </w:p>
    <w:p w14:paraId="7A17F4F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（八）本章程或董事会授予的其他职权。</w:t>
      </w:r>
    </w:p>
    <w:p w14:paraId="041DCDA0"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 xml:space="preserve">　　总经理列席董事会会议。</w:t>
      </w:r>
    </w:p>
    <w:p w14:paraId="06662C99" w14:textId="2A2E5D9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总经理</w:t>
      </w:r>
      <w:r>
        <w:rPr>
          <w:rFonts w:ascii="宋体" w:hAnsi="宋体" w:cs="Arial" w:hint="eastAsia"/>
          <w:snapToGrid w:val="0"/>
          <w:kern w:val="0"/>
          <w:sz w:val="24"/>
        </w:rPr>
        <w:t>应</w:t>
      </w:r>
      <w:r>
        <w:rPr>
          <w:rFonts w:ascii="宋体" w:hAnsi="宋体" w:cs="Arial"/>
          <w:snapToGrid w:val="0"/>
          <w:kern w:val="0"/>
          <w:sz w:val="24"/>
        </w:rPr>
        <w:t>制</w:t>
      </w:r>
      <w:r w:rsidR="0055673D">
        <w:rPr>
          <w:rFonts w:ascii="宋体" w:hAnsi="宋体" w:cs="Arial" w:hint="eastAsia"/>
          <w:snapToGrid w:val="0"/>
          <w:kern w:val="0"/>
          <w:sz w:val="24"/>
        </w:rPr>
        <w:t>订</w:t>
      </w:r>
      <w:r>
        <w:rPr>
          <w:rFonts w:ascii="宋体" w:hAnsi="宋体" w:cs="Arial"/>
          <w:snapToGrid w:val="0"/>
          <w:kern w:val="0"/>
          <w:sz w:val="24"/>
        </w:rPr>
        <w:t>总经理工作细则，报董事会批准后实施。</w:t>
      </w:r>
    </w:p>
    <w:p w14:paraId="18C9A94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总经理工作细则包括以下内容：</w:t>
      </w:r>
    </w:p>
    <w:p w14:paraId="0B6FA50B"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（一）总经理会议召开的条件、程序和参加的人员；</w:t>
      </w:r>
    </w:p>
    <w:p w14:paraId="551B5CD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（二）总经理及其他高级管理人员各自具体的职责及其分工；</w:t>
      </w:r>
    </w:p>
    <w:p w14:paraId="15C515F2" w14:textId="29181D8B"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（三）公司资金、资产运用，签订重大合同的权限，以及向董事会的报告制度；</w:t>
      </w:r>
    </w:p>
    <w:p w14:paraId="44E7B21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（四）董事会认为必要的其他事项。</w:t>
      </w:r>
    </w:p>
    <w:p w14:paraId="07A7F9A5" w14:textId="15AF4B7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总经理可以在任期届满以前提出辞职。有关总经理辞职的具体程序和办法由总经理与公司之间的</w:t>
      </w:r>
      <w:r w:rsidRPr="00AC0269">
        <w:rPr>
          <w:rFonts w:ascii="宋体" w:hAnsi="宋体" w:cs="Arial" w:hint="eastAsia"/>
          <w:snapToGrid w:val="0"/>
          <w:kern w:val="0"/>
          <w:sz w:val="24"/>
        </w:rPr>
        <w:t>劳动</w:t>
      </w:r>
      <w:r>
        <w:rPr>
          <w:rFonts w:ascii="宋体" w:hAnsi="宋体" w:cs="Arial"/>
          <w:snapToGrid w:val="0"/>
          <w:kern w:val="0"/>
          <w:sz w:val="24"/>
        </w:rPr>
        <w:t>合同规定。</w:t>
      </w:r>
    </w:p>
    <w:p w14:paraId="5220E7E3" w14:textId="3A4096CB"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副总经理、总工程师、财务总监协助总经理工作，履行各自具体职责，总经理因故不能履行职责时，应报董事会批准，指定一名副总经理代理。</w:t>
      </w:r>
      <w:r>
        <w:rPr>
          <w:rFonts w:ascii="宋体" w:hAnsi="宋体" w:cs="Arial" w:hint="eastAsia"/>
          <w:snapToGrid w:val="0"/>
          <w:kern w:val="0"/>
          <w:sz w:val="24"/>
        </w:rPr>
        <w:t>副总经理由</w:t>
      </w:r>
      <w:r>
        <w:rPr>
          <w:rFonts w:ascii="宋体" w:hAnsi="宋体" w:cs="Arial"/>
          <w:snapToGrid w:val="0"/>
          <w:kern w:val="0"/>
          <w:sz w:val="24"/>
        </w:rPr>
        <w:t>提名委员会</w:t>
      </w:r>
      <w:r>
        <w:rPr>
          <w:rFonts w:ascii="宋体" w:hAnsi="宋体" w:cs="Arial" w:hint="eastAsia"/>
          <w:snapToGrid w:val="0"/>
          <w:kern w:val="0"/>
          <w:sz w:val="24"/>
        </w:rPr>
        <w:t>提名</w:t>
      </w:r>
      <w:r>
        <w:rPr>
          <w:rFonts w:ascii="宋体" w:hAnsi="宋体" w:cs="Arial"/>
          <w:snapToGrid w:val="0"/>
          <w:kern w:val="0"/>
          <w:sz w:val="24"/>
        </w:rPr>
        <w:t>，董事会批准。</w:t>
      </w:r>
    </w:p>
    <w:p w14:paraId="536CCB1A" w14:textId="5AE5C40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公司设董事会秘书，负责公司股东会和董事会会议的筹备、文件保管以及公司股东资料管理，办理信息披露事务等事宜。</w:t>
      </w:r>
    </w:p>
    <w:p w14:paraId="0FB883E8" w14:textId="77777777" w:rsidR="005A4DB3" w:rsidRDefault="00F11E53" w:rsidP="00DB418D">
      <w:pPr>
        <w:adjustRightInd w:val="0"/>
        <w:snapToGrid w:val="0"/>
        <w:spacing w:beforeLines="50" w:before="156" w:afterLines="50" w:after="156" w:line="360" w:lineRule="auto"/>
        <w:ind w:firstLineChars="177" w:firstLine="425"/>
        <w:rPr>
          <w:rFonts w:ascii="宋体" w:hAnsi="宋体" w:cs="Arial" w:hint="eastAsia"/>
          <w:snapToGrid w:val="0"/>
          <w:kern w:val="0"/>
          <w:sz w:val="24"/>
        </w:rPr>
      </w:pPr>
      <w:r>
        <w:rPr>
          <w:rFonts w:ascii="宋体" w:hAnsi="宋体" w:cs="Arial" w:hint="eastAsia"/>
          <w:snapToGrid w:val="0"/>
          <w:kern w:val="0"/>
          <w:sz w:val="24"/>
        </w:rPr>
        <w:t>董事会秘书应遵守法律、行政法规、部门规章、《董事会秘书工作制度》及本章程的有关规定。</w:t>
      </w:r>
    </w:p>
    <w:p w14:paraId="34A91E7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高级管理人员执行公司职务，给他人造成损害的，公司将承担赔偿责任；高级管理人员存在故意或者重大过失的，也应当承担赔偿责任。</w:t>
      </w:r>
      <w:r>
        <w:rPr>
          <w:rFonts w:ascii="宋体" w:hAnsi="宋体" w:cs="Arial"/>
          <w:snapToGrid w:val="0"/>
          <w:kern w:val="0"/>
          <w:sz w:val="24"/>
        </w:rPr>
        <w:t>高级管理人员执行公司职务时违反法律、行政法规、部门规章或本章程的规定，给公</w:t>
      </w:r>
      <w:r>
        <w:rPr>
          <w:rFonts w:ascii="宋体" w:hAnsi="宋体" w:cs="Arial"/>
          <w:snapToGrid w:val="0"/>
          <w:kern w:val="0"/>
          <w:sz w:val="24"/>
        </w:rPr>
        <w:lastRenderedPageBreak/>
        <w:t>司造成损失的，应当承担赔偿责任。</w:t>
      </w:r>
    </w:p>
    <w:p w14:paraId="57039EFD"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公司高级管理人员应当忠实履行职务，维护公司和全体股东的最大利益。</w:t>
      </w:r>
    </w:p>
    <w:p w14:paraId="40F73A3C"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公司高级管理人员因未能忠实履行职务或者违背诚信义务，给公司和社会公众股股东的利益造成损害的，应当依法承担赔偿责任。</w:t>
      </w:r>
    </w:p>
    <w:p w14:paraId="2C477421" w14:textId="3AA5A4E4" w:rsidR="005A4DB3" w:rsidRDefault="00F11E53">
      <w:pPr>
        <w:pStyle w:val="1"/>
        <w:spacing w:beforeLines="50" w:before="156" w:afterLines="50" w:after="156" w:line="360" w:lineRule="auto"/>
        <w:rPr>
          <w:rFonts w:ascii="宋体" w:hAnsi="宋体" w:cs="宋体" w:hint="eastAsia"/>
          <w:color w:val="333333"/>
          <w:kern w:val="0"/>
          <w:szCs w:val="21"/>
        </w:rPr>
      </w:pPr>
      <w:bookmarkStart w:id="75" w:name="_Toc212813233"/>
      <w:bookmarkStart w:id="76" w:name="_Toc414213726"/>
      <w:bookmarkStart w:id="77" w:name="_Toc495415955"/>
      <w:r>
        <w:t>第</w:t>
      </w:r>
      <w:r>
        <w:rPr>
          <w:rFonts w:hint="eastAsia"/>
        </w:rPr>
        <w:t>七</w:t>
      </w:r>
      <w:r>
        <w:t>章</w:t>
      </w:r>
      <w:r>
        <w:rPr>
          <w:rFonts w:hint="eastAsia"/>
        </w:rPr>
        <w:t xml:space="preserve"> </w:t>
      </w:r>
      <w:r>
        <w:rPr>
          <w:rFonts w:ascii="宋体" w:hAnsi="宋体" w:cs="宋体" w:hint="eastAsia"/>
          <w:color w:val="333333"/>
          <w:kern w:val="0"/>
          <w:szCs w:val="21"/>
        </w:rPr>
        <w:t>党建工作</w:t>
      </w:r>
      <w:bookmarkEnd w:id="75"/>
    </w:p>
    <w:p w14:paraId="4C3EDB99"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在公司中，根据《中国共产党章程》的规定，设立中国共产党的组织，公司党组织发挥领导作用，把方向、管大局、保落实，董事会决策公司重大问题，尤其涉及国家宏观调控、国家发展战略、国家安全等重大经营管理事项，应先听取公司党组织的意见。公司应当为党组织的活动提供必要条件，配备足够数量的党务工作人员，保障党组织的工作经费。</w:t>
      </w:r>
    </w:p>
    <w:p w14:paraId="227B4C9C" w14:textId="7FB385B5" w:rsidR="005A4DB3" w:rsidRDefault="00F11E53">
      <w:pPr>
        <w:pStyle w:val="1"/>
        <w:spacing w:beforeLines="50" w:before="156" w:afterLines="50" w:after="156" w:line="360" w:lineRule="auto"/>
      </w:pPr>
      <w:bookmarkStart w:id="78" w:name="_Toc212813234"/>
      <w:r>
        <w:rPr>
          <w:rFonts w:hint="eastAsia"/>
        </w:rPr>
        <w:t>第八章</w:t>
      </w:r>
      <w:r>
        <w:rPr>
          <w:rFonts w:hint="eastAsia"/>
        </w:rPr>
        <w:t xml:space="preserve"> </w:t>
      </w:r>
      <w:r>
        <w:t>财务会计制度、利润分配和审计</w:t>
      </w:r>
      <w:bookmarkEnd w:id="76"/>
      <w:bookmarkEnd w:id="77"/>
      <w:bookmarkEnd w:id="78"/>
    </w:p>
    <w:p w14:paraId="6F36AFD8" w14:textId="77777777" w:rsidR="005A4DB3" w:rsidRDefault="00F11E53">
      <w:pPr>
        <w:pStyle w:val="2"/>
        <w:spacing w:beforeLines="50" w:before="156" w:afterLines="50" w:after="156" w:line="360" w:lineRule="auto"/>
        <w:rPr>
          <w:snapToGrid w:val="0"/>
          <w:kern w:val="0"/>
        </w:rPr>
      </w:pPr>
      <w:bookmarkStart w:id="79" w:name="_Toc495415956"/>
      <w:bookmarkStart w:id="80" w:name="_Toc414213727"/>
      <w:bookmarkStart w:id="81" w:name="_Toc212813235"/>
      <w:r>
        <w:rPr>
          <w:snapToGrid w:val="0"/>
          <w:kern w:val="0"/>
        </w:rPr>
        <w:t>第一节</w:t>
      </w:r>
      <w:r>
        <w:rPr>
          <w:snapToGrid w:val="0"/>
          <w:kern w:val="0"/>
        </w:rPr>
        <w:t xml:space="preserve"> </w:t>
      </w:r>
      <w:r>
        <w:rPr>
          <w:snapToGrid w:val="0"/>
          <w:kern w:val="0"/>
        </w:rPr>
        <w:t>财务会计制度</w:t>
      </w:r>
      <w:bookmarkEnd w:id="79"/>
      <w:bookmarkEnd w:id="80"/>
      <w:bookmarkEnd w:id="81"/>
    </w:p>
    <w:p w14:paraId="2004F3FF"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公司依照法律、行政法规和国家有关部门的规定，制定公司的财务会计制度。</w:t>
      </w:r>
    </w:p>
    <w:p w14:paraId="7911414B" w14:textId="48570DCB" w:rsidR="005A4DB3" w:rsidRDefault="00F11E53">
      <w:pPr>
        <w:numPr>
          <w:ilvl w:val="0"/>
          <w:numId w:val="1"/>
        </w:numPr>
        <w:adjustRightInd w:val="0"/>
        <w:snapToGrid w:val="0"/>
        <w:spacing w:beforeLines="50" w:before="156" w:afterLines="50" w:after="156" w:line="360" w:lineRule="auto"/>
        <w:ind w:left="0" w:firstLine="1135"/>
        <w:rPr>
          <w:rFonts w:ascii="宋体" w:hAnsi="宋体" w:cs="Arial" w:hint="eastAsia"/>
          <w:snapToGrid w:val="0"/>
          <w:kern w:val="0"/>
          <w:sz w:val="24"/>
        </w:rPr>
      </w:pPr>
      <w:r>
        <w:rPr>
          <w:rFonts w:ascii="宋体" w:hAnsi="宋体" w:cs="Arial" w:hint="eastAsia"/>
          <w:snapToGrid w:val="0"/>
          <w:kern w:val="0"/>
          <w:sz w:val="24"/>
        </w:rPr>
        <w:t xml:space="preserve"> 公司在每一会计年度结束之日起4个月内向中国证监会派出机构和证券交易所报送并披露年度报告，在每一会计年度上半年结束之日起2个月内向中国证监会派出机构和证券交易所报送并披露中期报告，在每一会计年度前3个月和前9个月结束之日起的 1 </w:t>
      </w:r>
      <w:proofErr w:type="gramStart"/>
      <w:r>
        <w:rPr>
          <w:rFonts w:ascii="宋体" w:hAnsi="宋体" w:cs="Arial" w:hint="eastAsia"/>
          <w:snapToGrid w:val="0"/>
          <w:kern w:val="0"/>
          <w:sz w:val="24"/>
        </w:rPr>
        <w:t>个</w:t>
      </w:r>
      <w:proofErr w:type="gramEnd"/>
      <w:r>
        <w:rPr>
          <w:rFonts w:ascii="宋体" w:hAnsi="宋体" w:cs="Arial" w:hint="eastAsia"/>
          <w:snapToGrid w:val="0"/>
          <w:kern w:val="0"/>
          <w:sz w:val="24"/>
        </w:rPr>
        <w:t>月内向中国证监会派出机构和证券交易所报送季度报告。</w:t>
      </w:r>
    </w:p>
    <w:p w14:paraId="2602DB46" w14:textId="2895E2FA"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上述</w:t>
      </w:r>
      <w:r>
        <w:rPr>
          <w:rFonts w:ascii="宋体" w:hAnsi="宋体" w:cs="Arial" w:hint="eastAsia"/>
          <w:snapToGrid w:val="0"/>
          <w:kern w:val="0"/>
          <w:sz w:val="24"/>
        </w:rPr>
        <w:t>年度报告、中期报告</w:t>
      </w:r>
      <w:r>
        <w:rPr>
          <w:rFonts w:ascii="宋体" w:hAnsi="宋体" w:cs="Arial"/>
          <w:snapToGrid w:val="0"/>
          <w:kern w:val="0"/>
          <w:sz w:val="24"/>
        </w:rPr>
        <w:t>按照有关法律、行政法规</w:t>
      </w:r>
      <w:r>
        <w:rPr>
          <w:rFonts w:ascii="宋体" w:hAnsi="宋体" w:cs="Arial" w:hint="eastAsia"/>
          <w:snapToGrid w:val="0"/>
          <w:kern w:val="0"/>
          <w:sz w:val="24"/>
        </w:rPr>
        <w:t>、中国证监会</w:t>
      </w:r>
      <w:r>
        <w:rPr>
          <w:rFonts w:ascii="宋体" w:hAnsi="宋体" w:cs="Arial"/>
          <w:snapToGrid w:val="0"/>
          <w:kern w:val="0"/>
          <w:sz w:val="24"/>
        </w:rPr>
        <w:t>及</w:t>
      </w:r>
      <w:r>
        <w:rPr>
          <w:rFonts w:ascii="宋体" w:hAnsi="宋体" w:cs="Arial" w:hint="eastAsia"/>
          <w:snapToGrid w:val="0"/>
          <w:kern w:val="0"/>
          <w:sz w:val="24"/>
        </w:rPr>
        <w:t>证券交易所</w:t>
      </w:r>
      <w:r>
        <w:rPr>
          <w:rFonts w:ascii="宋体" w:hAnsi="宋体" w:cs="Arial"/>
          <w:snapToGrid w:val="0"/>
          <w:kern w:val="0"/>
          <w:sz w:val="24"/>
        </w:rPr>
        <w:t>的规定进行编制。</w:t>
      </w:r>
    </w:p>
    <w:p w14:paraId="56A2DE2D" w14:textId="193168DD"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公司除法定的会计账簿外，将不另立会计账簿。公司的</w:t>
      </w:r>
      <w:r>
        <w:rPr>
          <w:rFonts w:ascii="宋体" w:hAnsi="宋体" w:cs="Arial" w:hint="eastAsia"/>
          <w:snapToGrid w:val="0"/>
          <w:kern w:val="0"/>
          <w:sz w:val="24"/>
        </w:rPr>
        <w:t>资金</w:t>
      </w:r>
      <w:r>
        <w:rPr>
          <w:rFonts w:ascii="宋体" w:hAnsi="宋体" w:cs="Arial"/>
          <w:snapToGrid w:val="0"/>
          <w:kern w:val="0"/>
          <w:sz w:val="24"/>
        </w:rPr>
        <w:t>，不以任何个人名义开立账户存储。</w:t>
      </w:r>
    </w:p>
    <w:p w14:paraId="413244B5"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公司分配当年税后利润时，应当提取利润的</w:t>
      </w:r>
      <w:r>
        <w:rPr>
          <w:rFonts w:ascii="宋体" w:hAnsi="宋体" w:cs="Arial" w:hint="eastAsia"/>
          <w:snapToGrid w:val="0"/>
          <w:kern w:val="0"/>
          <w:sz w:val="24"/>
        </w:rPr>
        <w:t>10%</w:t>
      </w:r>
      <w:r>
        <w:rPr>
          <w:rFonts w:ascii="宋体" w:hAnsi="宋体" w:cs="Arial"/>
          <w:snapToGrid w:val="0"/>
          <w:kern w:val="0"/>
          <w:sz w:val="24"/>
        </w:rPr>
        <w:t>列入公司法定</w:t>
      </w:r>
      <w:r>
        <w:rPr>
          <w:rFonts w:ascii="宋体" w:hAnsi="宋体" w:cs="Arial"/>
          <w:snapToGrid w:val="0"/>
          <w:kern w:val="0"/>
          <w:sz w:val="24"/>
        </w:rPr>
        <w:lastRenderedPageBreak/>
        <w:t>公积金。公司法定公积金累计额为公司注册资本的</w:t>
      </w:r>
      <w:r>
        <w:rPr>
          <w:rFonts w:ascii="宋体" w:hAnsi="宋体" w:cs="Arial" w:hint="eastAsia"/>
          <w:snapToGrid w:val="0"/>
          <w:kern w:val="0"/>
          <w:sz w:val="24"/>
        </w:rPr>
        <w:t>50%</w:t>
      </w:r>
      <w:r>
        <w:rPr>
          <w:rFonts w:ascii="宋体" w:hAnsi="宋体" w:cs="Arial"/>
          <w:snapToGrid w:val="0"/>
          <w:kern w:val="0"/>
          <w:sz w:val="24"/>
        </w:rPr>
        <w:t>以上的，可以不再提取。</w:t>
      </w:r>
    </w:p>
    <w:p w14:paraId="40829DDC"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公司的法定公积金不足以弥补以前年度亏损的，在依照前款规定提取法定公积金之前，应当先用当年利润弥补亏损。</w:t>
      </w:r>
    </w:p>
    <w:p w14:paraId="6DEECD0C" w14:textId="1790AA2C"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color w:val="000000"/>
          <w:kern w:val="0"/>
          <w:sz w:val="24"/>
        </w:rPr>
        <w:t>公司从税后利润中提取法定公积金后，经股东会决议，还可以从税后利润中提取任意公积金。</w:t>
      </w:r>
    </w:p>
    <w:p w14:paraId="7D3D342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公司弥补亏损和提取公积金后所余税后利润，按照股东持有的股份比例分配，但本章程规定不按持股比例分配的除外。</w:t>
      </w:r>
    </w:p>
    <w:p w14:paraId="30079510" w14:textId="759BD408"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股东会违反</w:t>
      </w:r>
      <w:r>
        <w:rPr>
          <w:rFonts w:ascii="宋体" w:hAnsi="宋体" w:cs="Arial" w:hint="eastAsia"/>
          <w:snapToGrid w:val="0"/>
          <w:kern w:val="0"/>
          <w:sz w:val="24"/>
        </w:rPr>
        <w:t>《公司法》向股东分配利润的，股东应当将违反规定分配的利润退还公司；给公司造成损失的，股东及负有责任的董事、高级管理人员应当承担赔偿责任。</w:t>
      </w:r>
    </w:p>
    <w:p w14:paraId="2DEE6440"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公司持有的本公司股份不参与分配利润。</w:t>
      </w:r>
    </w:p>
    <w:p w14:paraId="2D88B222"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公司的公积金用于弥补公司的亏损、扩大公司生产经营或者转为增加公司</w:t>
      </w:r>
      <w:r>
        <w:rPr>
          <w:rFonts w:ascii="宋体" w:hAnsi="宋体" w:cs="Arial" w:hint="eastAsia"/>
          <w:snapToGrid w:val="0"/>
          <w:kern w:val="0"/>
          <w:sz w:val="24"/>
        </w:rPr>
        <w:t>注册</w:t>
      </w:r>
      <w:r>
        <w:rPr>
          <w:rFonts w:ascii="宋体" w:hAnsi="宋体" w:cs="Arial"/>
          <w:snapToGrid w:val="0"/>
          <w:kern w:val="0"/>
          <w:sz w:val="24"/>
        </w:rPr>
        <w:t>资本。</w:t>
      </w:r>
    </w:p>
    <w:p w14:paraId="702695BE" w14:textId="762230D0" w:rsidR="005A4DB3" w:rsidRDefault="00F11E53" w:rsidP="00292011">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公积金弥补公司亏损，先使用任意公积金和法定公积金；仍不能弥补的，可以按照规定使用资本公积金。</w:t>
      </w:r>
    </w:p>
    <w:p w14:paraId="134BA099" w14:textId="18B789C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法定公积金转为</w:t>
      </w:r>
      <w:r>
        <w:rPr>
          <w:rFonts w:ascii="宋体" w:hAnsi="宋体" w:cs="Arial" w:hint="eastAsia"/>
          <w:snapToGrid w:val="0"/>
          <w:kern w:val="0"/>
          <w:sz w:val="24"/>
        </w:rPr>
        <w:t>增加注册资本</w:t>
      </w:r>
      <w:r>
        <w:rPr>
          <w:rFonts w:ascii="宋体" w:hAnsi="宋体" w:cs="Arial"/>
          <w:snapToGrid w:val="0"/>
          <w:kern w:val="0"/>
          <w:sz w:val="24"/>
        </w:rPr>
        <w:t>时，所留存的该项公积金将不少于转增前公司注册资本的</w:t>
      </w:r>
      <w:r>
        <w:rPr>
          <w:rFonts w:ascii="宋体" w:hAnsi="宋体" w:cs="Arial" w:hint="eastAsia"/>
          <w:snapToGrid w:val="0"/>
          <w:kern w:val="0"/>
          <w:sz w:val="24"/>
        </w:rPr>
        <w:t>百分之二十五</w:t>
      </w:r>
      <w:r>
        <w:rPr>
          <w:rFonts w:ascii="宋体" w:hAnsi="宋体" w:cs="Arial"/>
          <w:snapToGrid w:val="0"/>
          <w:kern w:val="0"/>
          <w:sz w:val="24"/>
        </w:rPr>
        <w:t>。</w:t>
      </w:r>
    </w:p>
    <w:p w14:paraId="575CC9C0" w14:textId="34E8BD6F"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公司股东会对利润分配方案</w:t>
      </w:r>
      <w:proofErr w:type="gramStart"/>
      <w:r>
        <w:rPr>
          <w:rFonts w:ascii="宋体" w:hAnsi="宋体" w:cs="Arial"/>
          <w:snapToGrid w:val="0"/>
          <w:kern w:val="0"/>
          <w:sz w:val="24"/>
        </w:rPr>
        <w:t>作出</w:t>
      </w:r>
      <w:proofErr w:type="gramEnd"/>
      <w:r>
        <w:rPr>
          <w:rFonts w:ascii="宋体" w:hAnsi="宋体" w:cs="Arial"/>
          <w:snapToGrid w:val="0"/>
          <w:kern w:val="0"/>
          <w:sz w:val="24"/>
        </w:rPr>
        <w:t>决议后，</w:t>
      </w:r>
      <w:r>
        <w:rPr>
          <w:rFonts w:ascii="宋体" w:hAnsi="宋体" w:cs="Arial" w:hint="eastAsia"/>
          <w:snapToGrid w:val="0"/>
          <w:kern w:val="0"/>
          <w:sz w:val="24"/>
        </w:rPr>
        <w:t>或者公司董事会根据年度股东会审议通过的下一年中期分红条件和上限制定具体方案后，</w:t>
      </w:r>
      <w:r>
        <w:rPr>
          <w:rFonts w:ascii="宋体" w:hAnsi="宋体" w:cs="Arial"/>
          <w:snapToGrid w:val="0"/>
          <w:kern w:val="0"/>
          <w:sz w:val="24"/>
        </w:rPr>
        <w:t>须在</w:t>
      </w:r>
      <w:r>
        <w:rPr>
          <w:rFonts w:ascii="宋体" w:hAnsi="宋体" w:cs="Arial" w:hint="eastAsia"/>
          <w:snapToGrid w:val="0"/>
          <w:kern w:val="0"/>
          <w:sz w:val="24"/>
        </w:rPr>
        <w:t>两</w:t>
      </w:r>
      <w:r>
        <w:rPr>
          <w:rFonts w:ascii="宋体" w:hAnsi="宋体" w:cs="Arial"/>
          <w:snapToGrid w:val="0"/>
          <w:kern w:val="0"/>
          <w:sz w:val="24"/>
        </w:rPr>
        <w:t>个月内完成股利</w:t>
      </w:r>
      <w:r>
        <w:rPr>
          <w:rFonts w:ascii="宋体" w:hAnsi="宋体" w:cs="Arial" w:hint="eastAsia"/>
          <w:snapToGrid w:val="0"/>
          <w:kern w:val="0"/>
          <w:sz w:val="24"/>
        </w:rPr>
        <w:t>（或者股份）</w:t>
      </w:r>
      <w:r>
        <w:rPr>
          <w:rFonts w:ascii="宋体" w:hAnsi="宋体" w:cs="Arial"/>
          <w:snapToGrid w:val="0"/>
          <w:kern w:val="0"/>
          <w:sz w:val="24"/>
        </w:rPr>
        <w:t>的派发事项。</w:t>
      </w:r>
    </w:p>
    <w:p w14:paraId="1DB49F1F"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在保持公司财务稳健的基础上，公司应充分注重投资者合理的投资回报，每年按当年度实现的可分配利润的一定比例向股东分配现金股利。</w:t>
      </w:r>
    </w:p>
    <w:p w14:paraId="35492FF8"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公司的股利分配政策为：</w:t>
      </w:r>
    </w:p>
    <w:p w14:paraId="53C2106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（一）利润分配原则</w:t>
      </w:r>
    </w:p>
    <w:p w14:paraId="56FC8BBF" w14:textId="77777777"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1、公司充分考虑对投资者的回报，每年按当年实现的可供分配利润规定比</w:t>
      </w:r>
      <w:r>
        <w:rPr>
          <w:rFonts w:ascii="宋体" w:hAnsi="宋体" w:hint="eastAsia"/>
          <w:sz w:val="24"/>
          <w:szCs w:val="24"/>
        </w:rPr>
        <w:lastRenderedPageBreak/>
        <w:t>例向股东分配股利；</w:t>
      </w:r>
    </w:p>
    <w:p w14:paraId="318A050A" w14:textId="77777777"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2、公司的利润分配政策保持连续性和稳定性，同时兼顾公司的长远利益、全体股东的整体利益及公司的可持续发展；</w:t>
      </w:r>
    </w:p>
    <w:p w14:paraId="16F024A1" w14:textId="6FC0634B"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3、公司董事会和股东会对利润分配政策的决策和论证应当充分考虑独立董事和公众投资者的意见。</w:t>
      </w:r>
    </w:p>
    <w:p w14:paraId="15B9FFB8" w14:textId="77777777"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4、公司利润分配政策应符合法律、法规的相关规定。</w:t>
      </w:r>
    </w:p>
    <w:p w14:paraId="1B93F769"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（二）公司利润分配政策具体内容</w:t>
      </w:r>
    </w:p>
    <w:p w14:paraId="1687282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（1）利润分配的形式</w:t>
      </w:r>
    </w:p>
    <w:p w14:paraId="5A1C0BB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公司采用现金、股票或现金与股票相结合的方式分配股利。公司优先采用现金分红的方式进行利润分配。</w:t>
      </w:r>
    </w:p>
    <w:p w14:paraId="00F9C05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（2）现金分红的具体条件和比例</w:t>
      </w:r>
    </w:p>
    <w:p w14:paraId="0853F205" w14:textId="6FF0D65A"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在公司当年实现的净利润为正数且当年末公司累计未分配利润为正数的情况下，公司应当进行现金分红，</w:t>
      </w:r>
      <w:r w:rsidR="00292011" w:rsidRPr="00292011">
        <w:rPr>
          <w:rFonts w:ascii="宋体" w:hAnsi="宋体" w:cs="Arial" w:hint="eastAsia"/>
          <w:snapToGrid w:val="0"/>
          <w:kern w:val="0"/>
          <w:sz w:val="24"/>
        </w:rPr>
        <w:t>公司最近三年以现金方式累计分配的利润原则上不少于最近三年实现的年均可分配利润的百分之三十</w:t>
      </w:r>
      <w:r w:rsidR="00292011">
        <w:rPr>
          <w:rFonts w:ascii="宋体" w:hAnsi="宋体" w:cs="Arial" w:hint="eastAsia"/>
          <w:snapToGrid w:val="0"/>
          <w:kern w:val="0"/>
          <w:sz w:val="24"/>
        </w:rPr>
        <w:t>。</w:t>
      </w:r>
      <w:r>
        <w:rPr>
          <w:rFonts w:ascii="宋体" w:hAnsi="宋体" w:cs="Arial" w:hint="eastAsia"/>
          <w:snapToGrid w:val="0"/>
          <w:kern w:val="0"/>
          <w:sz w:val="24"/>
        </w:rPr>
        <w:t>公司根据盈利、资金需求、现金流等情况，可以进行中期分红。</w:t>
      </w:r>
    </w:p>
    <w:p w14:paraId="17785055"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公司董事会应当综合考虑所处行业特点、发展阶段、自身经营模式、盈利水平以及是否有重大资金支出安排等因素，区分下列情形，提出差异化的现金分红政策：</w:t>
      </w:r>
    </w:p>
    <w:p w14:paraId="7DAE99C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A、公司属成熟期且无重大资金支出安排的，进行利润分配时，现金分红在本次利润分配中所占比例最低应达到80%；</w:t>
      </w:r>
    </w:p>
    <w:p w14:paraId="2E4ED8D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B、公司属成熟期且有重大资金支出安排的，进行利润分配时，现金分红在本次利润分配中所占比例最低应达到40%；</w:t>
      </w:r>
    </w:p>
    <w:p w14:paraId="21E0F13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C、公司发展阶段属成长期且有重大资金支出安排的，进行利润分配时，现金分红在本次利润分配中所占比例最低应达到20%；</w:t>
      </w:r>
    </w:p>
    <w:p w14:paraId="4D93A227" w14:textId="5377F9E3"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如公司发展阶段不易区分但有重大资金支出安排的，可以按照前项规定处理。</w:t>
      </w:r>
      <w:r w:rsidR="00292011" w:rsidRPr="00292011">
        <w:rPr>
          <w:rFonts w:ascii="宋体" w:hAnsi="宋体" w:cs="Arial" w:hint="eastAsia"/>
          <w:snapToGrid w:val="0"/>
          <w:kern w:val="0"/>
          <w:sz w:val="24"/>
        </w:rPr>
        <w:lastRenderedPageBreak/>
        <w:t>公司在实际分红时具体所处阶段，由公司董事会根据具体情形确定。</w:t>
      </w:r>
    </w:p>
    <w:p w14:paraId="7C498016" w14:textId="77777777"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（3）股票股利发放条件</w:t>
      </w:r>
    </w:p>
    <w:p w14:paraId="2AC3C142" w14:textId="7F47F61D"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在公司符合上述现金分红规定，且营业收入快速增长，股票价格与股本规模不匹配，发放股票股利有利于公司全体股东整体利益时，董事会可以在实施上述现金分红之外提出股票股利分配方案，但应当考虑公司成长性、每股净资产的摊薄等真实合理因素，并提交股东会审议。</w:t>
      </w:r>
    </w:p>
    <w:p w14:paraId="32D9BECB" w14:textId="77777777"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hint="eastAsia"/>
          <w:sz w:val="24"/>
          <w:szCs w:val="24"/>
        </w:rPr>
        <w:t>（4）对公众投资者的保护</w:t>
      </w:r>
    </w:p>
    <w:p w14:paraId="667945F7" w14:textId="77777777" w:rsidR="005A4DB3" w:rsidRDefault="00F11E53">
      <w:pPr>
        <w:spacing w:beforeLines="50" w:before="156" w:afterLines="50" w:after="156" w:line="360" w:lineRule="auto"/>
        <w:ind w:firstLineChars="200" w:firstLine="480"/>
        <w:rPr>
          <w:rFonts w:ascii="宋体" w:hAnsi="宋体" w:hint="eastAsia"/>
          <w:sz w:val="24"/>
          <w:szCs w:val="24"/>
        </w:rPr>
      </w:pPr>
      <w:r>
        <w:rPr>
          <w:rFonts w:ascii="宋体" w:hAnsi="宋体" w:cs="Arial" w:hint="eastAsia"/>
          <w:snapToGrid w:val="0"/>
          <w:kern w:val="0"/>
          <w:sz w:val="24"/>
        </w:rPr>
        <w:t>存在股东违规占用公司资金情况的，公司应当扣减该股东所分配的现金红利，以偿还其占用资金。</w:t>
      </w:r>
    </w:p>
    <w:p w14:paraId="557DF4D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（三）公司利润分配决策程序</w:t>
      </w:r>
    </w:p>
    <w:p w14:paraId="5C279DD9"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1、公司应当充分听取独立董事和中小股东对利润分配方案的意见，公司管理层结合公司股本规模、盈利情况、投资安排等因素提出利润分配建议，由董事会制订利润分配方案。独立董事可以征集中小股东的意见，提出分红提案，并直接提交董事会审议。</w:t>
      </w:r>
    </w:p>
    <w:p w14:paraId="76DF6652" w14:textId="712BA361"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2、利润分配方案应当征询独立董事意见，并经独立董事过半数同意，独立董事应当对利润分配方案发表明确意见，董事会就利润分配方案形成决议后应提交股东会审议。</w:t>
      </w:r>
    </w:p>
    <w:p w14:paraId="7365457B" w14:textId="3227BB7F"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3、公司应切实保障中小股东参与股东会的权利，审议有关利润分配议案时，应当提供网络投票等方式以方便中小股东参与表决。</w:t>
      </w:r>
    </w:p>
    <w:p w14:paraId="0F277CE4" w14:textId="3950C955"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4、独立董事和符合条件的股东可以向公司股东征集其在股东会上的投票权。</w:t>
      </w:r>
    </w:p>
    <w:p w14:paraId="78EEFE62" w14:textId="5D090250"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5、公司股东会对利润分配方案</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决议后，公司董事会必须在股东会召开后2个月内完成股利（或股份）的派发事项。</w:t>
      </w:r>
    </w:p>
    <w:p w14:paraId="03A1E15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（四）公司利润分配政策调整</w:t>
      </w:r>
    </w:p>
    <w:p w14:paraId="744EF4F6"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1.利润分配政策调整的条件</w:t>
      </w:r>
    </w:p>
    <w:p w14:paraId="14187536"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公司根据有关法律、法规和规范性文件的规定，行业监管政策，自身经营情</w:t>
      </w:r>
      <w:r>
        <w:rPr>
          <w:rFonts w:ascii="宋体" w:hAnsi="宋体" w:cs="Arial" w:hint="eastAsia"/>
          <w:snapToGrid w:val="0"/>
          <w:kern w:val="0"/>
          <w:sz w:val="24"/>
        </w:rPr>
        <w:lastRenderedPageBreak/>
        <w:t>况、投资规划和长期发展的需要，或者因为外部经营环境发生重大变化确实需要调整利润分配政策的，在履行有关程序后可以对既定的利润分配政策进行调整，但不得违反相关法律法规和监管规定。</w:t>
      </w:r>
    </w:p>
    <w:p w14:paraId="0955453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2.利润分配政策调整的程序</w:t>
      </w:r>
    </w:p>
    <w:p w14:paraId="274C924A"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由公司董事会战略委员会制定利润分配政策调整方案，充分论证调整利润分配政策的必要性，并说明利润留存的用途，由公司董事会根据实际情况，在公司盈利转强时实施公司对过往年度现金弥补方案，确保公司股东能够持续获得现金分红。董事会提出的调整利润分配政策议案需经董事会半数以上董事表决通过，并经独立董事过半数通过，独立董事应当对利润分配政策的调整发表独立意见。</w:t>
      </w:r>
    </w:p>
    <w:p w14:paraId="50A5A56A" w14:textId="3868166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调整利润分配政策的议案经上述程序审议通过后，需提交股东会审议，并经出席股东</w:t>
      </w:r>
      <w:proofErr w:type="gramStart"/>
      <w:r>
        <w:rPr>
          <w:rFonts w:ascii="宋体" w:hAnsi="宋体" w:cs="Arial" w:hint="eastAsia"/>
          <w:snapToGrid w:val="0"/>
          <w:kern w:val="0"/>
          <w:sz w:val="24"/>
        </w:rPr>
        <w:t>会股东</w:t>
      </w:r>
      <w:proofErr w:type="gramEnd"/>
      <w:r>
        <w:rPr>
          <w:rFonts w:ascii="宋体" w:hAnsi="宋体" w:cs="Arial" w:hint="eastAsia"/>
          <w:snapToGrid w:val="0"/>
          <w:kern w:val="0"/>
          <w:sz w:val="24"/>
        </w:rPr>
        <w:t>所持表决权2/3以上通过。股东会审议该等议案时，应当提供网络投票等方式以方便中小股东参与表决。</w:t>
      </w:r>
    </w:p>
    <w:p w14:paraId="7DC7B05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（五）信息披露</w:t>
      </w:r>
    </w:p>
    <w:p w14:paraId="70C4FBD4" w14:textId="0C3085AD"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应当在定期报告中披露利润分配方案，并在年度报告中详细披露现金分红政策的制定和执行情况，说明是否符合公司章程的规定或者股东会决议的要求，分红标准和比例是否明确、清晰，相关的决策程序和机制是否完备，独立董事是否尽职尽责并发挥了应有作用，中小股东是否有充分表达意见和诉求的机会，中小股东合法权益是否得到充分维护等。对现金分红政策进行调整或变更的，还要详细说明调整或变更的条件和程序是否合</w:t>
      </w:r>
      <w:proofErr w:type="gramStart"/>
      <w:r>
        <w:rPr>
          <w:rFonts w:ascii="宋体" w:hAnsi="宋体" w:cs="Arial" w:hint="eastAsia"/>
          <w:snapToGrid w:val="0"/>
          <w:kern w:val="0"/>
          <w:sz w:val="24"/>
        </w:rPr>
        <w:t>规</w:t>
      </w:r>
      <w:proofErr w:type="gramEnd"/>
      <w:r>
        <w:rPr>
          <w:rFonts w:ascii="宋体" w:hAnsi="宋体" w:cs="Arial" w:hint="eastAsia"/>
          <w:snapToGrid w:val="0"/>
          <w:kern w:val="0"/>
          <w:sz w:val="24"/>
        </w:rPr>
        <w:t>和透明等。</w:t>
      </w:r>
    </w:p>
    <w:p w14:paraId="4FFDE887" w14:textId="77777777" w:rsidR="005A4DB3" w:rsidRDefault="00F11E53">
      <w:pPr>
        <w:pStyle w:val="2"/>
        <w:spacing w:beforeLines="50" w:before="156" w:afterLines="50" w:after="156" w:line="360" w:lineRule="auto"/>
        <w:rPr>
          <w:snapToGrid w:val="0"/>
          <w:kern w:val="0"/>
        </w:rPr>
      </w:pPr>
      <w:bookmarkStart w:id="82" w:name="_Toc414213728"/>
      <w:bookmarkStart w:id="83" w:name="_Toc495415957"/>
      <w:bookmarkStart w:id="84" w:name="_Toc212813236"/>
      <w:r>
        <w:rPr>
          <w:snapToGrid w:val="0"/>
          <w:kern w:val="0"/>
        </w:rPr>
        <w:t>第</w:t>
      </w:r>
      <w:r>
        <w:rPr>
          <w:rFonts w:hint="eastAsia"/>
          <w:snapToGrid w:val="0"/>
          <w:kern w:val="0"/>
        </w:rPr>
        <w:t>二</w:t>
      </w:r>
      <w:r>
        <w:rPr>
          <w:snapToGrid w:val="0"/>
          <w:kern w:val="0"/>
        </w:rPr>
        <w:t>节</w:t>
      </w:r>
      <w:r>
        <w:rPr>
          <w:snapToGrid w:val="0"/>
          <w:kern w:val="0"/>
        </w:rPr>
        <w:t xml:space="preserve"> </w:t>
      </w:r>
      <w:r>
        <w:rPr>
          <w:rFonts w:hint="eastAsia"/>
          <w:snapToGrid w:val="0"/>
          <w:kern w:val="0"/>
        </w:rPr>
        <w:t>内部审计</w:t>
      </w:r>
      <w:bookmarkEnd w:id="82"/>
      <w:bookmarkEnd w:id="83"/>
      <w:bookmarkEnd w:id="84"/>
    </w:p>
    <w:p w14:paraId="5ACE6E44"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公司实行内部审计制度，明确内部审计工作的领导体制、职责权限、人员配备、经费保障、审计结果运用和责任追究等。</w:t>
      </w:r>
    </w:p>
    <w:p w14:paraId="3C68FDC5" w14:textId="3C84F4EC" w:rsidR="005A4DB3" w:rsidRDefault="00F11E53" w:rsidP="00292011">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公司内部审计制度经董事会批准后实施，并对外披露。</w:t>
      </w:r>
    </w:p>
    <w:p w14:paraId="22DC4AF5" w14:textId="53B4C89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公司内部审计机构对公司业务活动、风险管理、内部控制、财务信息等事项进行监督检查。</w:t>
      </w:r>
    </w:p>
    <w:p w14:paraId="78344B0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内部审计机构向董事会负责。</w:t>
      </w:r>
    </w:p>
    <w:p w14:paraId="09303ED1"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lastRenderedPageBreak/>
        <w:t xml:space="preserve">　　内部审计机构在对公司业务活动、风险管理、内部控制、财务信息监督检查过程中，应当接受审计委员会的监督指导。内部审计机构发现相关重大问题或者线索，应当立即向审计委员会直接报告。</w:t>
      </w:r>
    </w:p>
    <w:p w14:paraId="1AE68C9A" w14:textId="598128CB"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公司内部控制评价的具体组织实施工作由内部审计机构负责。公司根据内部审计机构出具、审计委员会审议后的评价报告及相关资料，出具年度内部控制评价报告。</w:t>
      </w:r>
    </w:p>
    <w:p w14:paraId="19ACBE06"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审计委员会与会计师事务所、国家审计机构等外部审计单位进行沟通时，内部审计机构应积极配合，提供必要的支持和协作。 </w:t>
      </w:r>
    </w:p>
    <w:p w14:paraId="1302AA00"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审计委员会参与对内部审计负责人的考核。</w:t>
      </w:r>
    </w:p>
    <w:p w14:paraId="68406FDB" w14:textId="77777777" w:rsidR="005A4DB3" w:rsidRDefault="00F11E53">
      <w:pPr>
        <w:pStyle w:val="2"/>
        <w:spacing w:beforeLines="50" w:before="156" w:afterLines="50" w:after="156" w:line="360" w:lineRule="auto"/>
        <w:rPr>
          <w:snapToGrid w:val="0"/>
          <w:kern w:val="0"/>
        </w:rPr>
      </w:pPr>
      <w:bookmarkStart w:id="85" w:name="_Toc495415958"/>
      <w:bookmarkStart w:id="86" w:name="_Toc414213729"/>
      <w:bookmarkStart w:id="87" w:name="_Toc212813237"/>
      <w:r>
        <w:rPr>
          <w:rFonts w:hint="eastAsia"/>
          <w:snapToGrid w:val="0"/>
          <w:kern w:val="0"/>
        </w:rPr>
        <w:t>第三节</w:t>
      </w:r>
      <w:r>
        <w:rPr>
          <w:rFonts w:hint="eastAsia"/>
          <w:snapToGrid w:val="0"/>
          <w:kern w:val="0"/>
        </w:rPr>
        <w:t xml:space="preserve"> </w:t>
      </w:r>
      <w:r>
        <w:rPr>
          <w:snapToGrid w:val="0"/>
          <w:kern w:val="0"/>
        </w:rPr>
        <w:t>会计师事务所的聘任</w:t>
      </w:r>
      <w:bookmarkEnd w:id="85"/>
      <w:bookmarkEnd w:id="86"/>
      <w:bookmarkEnd w:id="87"/>
    </w:p>
    <w:p w14:paraId="0B1004B2" w14:textId="30E510C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公司聘用</w:t>
      </w:r>
      <w:r>
        <w:rPr>
          <w:rFonts w:ascii="宋体" w:hAnsi="宋体" w:cs="Arial" w:hint="eastAsia"/>
          <w:snapToGrid w:val="0"/>
          <w:kern w:val="0"/>
          <w:sz w:val="24"/>
        </w:rPr>
        <w:t>符合《证券法》规定</w:t>
      </w:r>
      <w:r>
        <w:rPr>
          <w:rFonts w:ascii="宋体" w:hAnsi="宋体" w:cs="Arial"/>
          <w:snapToGrid w:val="0"/>
          <w:kern w:val="0"/>
          <w:sz w:val="24"/>
        </w:rPr>
        <w:t>的会计师事务所进行会计报表审计、净资产验证及其他相关的咨询服务等业务，聘期</w:t>
      </w:r>
      <w:r>
        <w:rPr>
          <w:rFonts w:ascii="宋体" w:hAnsi="宋体" w:cs="Arial" w:hint="eastAsia"/>
          <w:snapToGrid w:val="0"/>
          <w:kern w:val="0"/>
          <w:sz w:val="24"/>
        </w:rPr>
        <w:t>一</w:t>
      </w:r>
      <w:r>
        <w:rPr>
          <w:rFonts w:ascii="宋体" w:hAnsi="宋体" w:cs="Arial"/>
          <w:snapToGrid w:val="0"/>
          <w:kern w:val="0"/>
          <w:sz w:val="24"/>
        </w:rPr>
        <w:t>年，可以续聘。</w:t>
      </w:r>
    </w:p>
    <w:p w14:paraId="0090D5DE" w14:textId="3B58C90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公司聘用</w:t>
      </w:r>
      <w:r>
        <w:rPr>
          <w:rFonts w:ascii="宋体" w:hAnsi="宋体" w:cs="Arial" w:hint="eastAsia"/>
          <w:snapToGrid w:val="0"/>
          <w:kern w:val="0"/>
          <w:sz w:val="24"/>
        </w:rPr>
        <w:t>、解聘</w:t>
      </w:r>
      <w:r>
        <w:rPr>
          <w:rFonts w:ascii="宋体" w:hAnsi="宋体" w:cs="Arial"/>
          <w:snapToGrid w:val="0"/>
          <w:kern w:val="0"/>
          <w:sz w:val="24"/>
        </w:rPr>
        <w:t>会计师事务所</w:t>
      </w:r>
      <w:r>
        <w:rPr>
          <w:rFonts w:ascii="宋体" w:hAnsi="宋体" w:cs="Arial" w:hint="eastAsia"/>
          <w:snapToGrid w:val="0"/>
          <w:kern w:val="0"/>
          <w:sz w:val="24"/>
        </w:rPr>
        <w:t>，</w:t>
      </w:r>
      <w:r>
        <w:rPr>
          <w:rFonts w:ascii="宋体" w:hAnsi="宋体" w:cs="Arial"/>
          <w:snapToGrid w:val="0"/>
          <w:kern w:val="0"/>
          <w:sz w:val="24"/>
        </w:rPr>
        <w:t>由</w:t>
      </w:r>
      <w:r>
        <w:rPr>
          <w:rFonts w:ascii="宋体" w:hAnsi="宋体" w:cs="Arial" w:hint="eastAsia"/>
          <w:snapToGrid w:val="0"/>
          <w:kern w:val="0"/>
          <w:sz w:val="24"/>
        </w:rPr>
        <w:t>股东会</w:t>
      </w:r>
      <w:r>
        <w:rPr>
          <w:rFonts w:ascii="宋体" w:hAnsi="宋体" w:cs="Arial"/>
          <w:snapToGrid w:val="0"/>
          <w:kern w:val="0"/>
          <w:sz w:val="24"/>
        </w:rPr>
        <w:t>决定</w:t>
      </w:r>
      <w:r>
        <w:rPr>
          <w:rFonts w:ascii="宋体" w:hAnsi="宋体" w:cs="Arial" w:hint="eastAsia"/>
          <w:snapToGrid w:val="0"/>
          <w:kern w:val="0"/>
          <w:sz w:val="24"/>
        </w:rPr>
        <w:t>。</w:t>
      </w:r>
      <w:r>
        <w:rPr>
          <w:rFonts w:ascii="宋体" w:hAnsi="宋体" w:cs="Arial"/>
          <w:snapToGrid w:val="0"/>
          <w:kern w:val="0"/>
          <w:sz w:val="24"/>
        </w:rPr>
        <w:t>董事会不得在股东会决定前委任会计师事务所。</w:t>
      </w:r>
    </w:p>
    <w:p w14:paraId="4F6957C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公司保证向聘用的会计师事务所提供真实、完整的会计凭证、会计账簿、财务会计报告及其他会计资料，不得拒绝、隐匿、谎报。</w:t>
      </w:r>
    </w:p>
    <w:p w14:paraId="175934A1" w14:textId="5824BF2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会计师事务所的审计费用由</w:t>
      </w:r>
      <w:r>
        <w:rPr>
          <w:rFonts w:ascii="宋体" w:hAnsi="宋体" w:cs="Arial" w:hint="eastAsia"/>
          <w:snapToGrid w:val="0"/>
          <w:kern w:val="0"/>
          <w:sz w:val="24"/>
        </w:rPr>
        <w:t>公司股东会</w:t>
      </w:r>
      <w:r>
        <w:rPr>
          <w:rFonts w:ascii="宋体" w:hAnsi="宋体" w:cs="Arial"/>
          <w:snapToGrid w:val="0"/>
          <w:kern w:val="0"/>
          <w:sz w:val="24"/>
        </w:rPr>
        <w:t>决定。</w:t>
      </w:r>
    </w:p>
    <w:p w14:paraId="5444C06E" w14:textId="14C6EC9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公司解聘或者不再续聘会计师事务所时，提前</w:t>
      </w:r>
      <w:r>
        <w:rPr>
          <w:rFonts w:ascii="宋体" w:hAnsi="宋体" w:cs="Arial" w:hint="eastAsia"/>
          <w:snapToGrid w:val="0"/>
          <w:kern w:val="0"/>
          <w:sz w:val="24"/>
        </w:rPr>
        <w:t>十五</w:t>
      </w:r>
      <w:r>
        <w:rPr>
          <w:rFonts w:ascii="宋体" w:hAnsi="宋体" w:cs="Arial"/>
          <w:snapToGrid w:val="0"/>
          <w:kern w:val="0"/>
          <w:sz w:val="24"/>
        </w:rPr>
        <w:t>天事先通知会计师事务所，公司</w:t>
      </w:r>
      <w:r>
        <w:rPr>
          <w:rFonts w:ascii="宋体" w:hAnsi="宋体" w:cs="Arial" w:hint="eastAsia"/>
          <w:snapToGrid w:val="0"/>
          <w:kern w:val="0"/>
          <w:sz w:val="24"/>
        </w:rPr>
        <w:t>股东会</w:t>
      </w:r>
      <w:r>
        <w:rPr>
          <w:rFonts w:ascii="宋体" w:hAnsi="宋体" w:cs="Arial"/>
          <w:snapToGrid w:val="0"/>
          <w:kern w:val="0"/>
          <w:sz w:val="24"/>
        </w:rPr>
        <w:t>就解聘会计师事务所进行表决时，允许会计师事务所陈述意见。</w:t>
      </w:r>
    </w:p>
    <w:p w14:paraId="6C9721C9" w14:textId="2E6EAB54"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会计师事务所提出辞聘的，应当向股东会说明公司有无不当情形。</w:t>
      </w:r>
    </w:p>
    <w:p w14:paraId="7CF81673" w14:textId="66AF8CE1" w:rsidR="005A4DB3" w:rsidRDefault="00F11E53">
      <w:pPr>
        <w:pStyle w:val="1"/>
        <w:spacing w:beforeLines="50" w:before="156" w:afterLines="50" w:after="156" w:line="360" w:lineRule="auto"/>
      </w:pPr>
      <w:bookmarkStart w:id="88" w:name="_Toc495415959"/>
      <w:bookmarkStart w:id="89" w:name="_Toc414213730"/>
      <w:bookmarkStart w:id="90" w:name="_Toc212813238"/>
      <w:r>
        <w:t>第</w:t>
      </w:r>
      <w:r>
        <w:rPr>
          <w:rFonts w:hint="eastAsia"/>
        </w:rPr>
        <w:t>九</w:t>
      </w:r>
      <w:r>
        <w:t>章</w:t>
      </w:r>
      <w:r>
        <w:t xml:space="preserve"> </w:t>
      </w:r>
      <w:r>
        <w:t>通知和公告</w:t>
      </w:r>
      <w:bookmarkEnd w:id="88"/>
      <w:bookmarkEnd w:id="89"/>
      <w:bookmarkEnd w:id="90"/>
    </w:p>
    <w:p w14:paraId="5482327C" w14:textId="77777777" w:rsidR="005A4DB3" w:rsidRDefault="00F11E53">
      <w:pPr>
        <w:pStyle w:val="2"/>
        <w:spacing w:beforeLines="50" w:before="156" w:afterLines="50" w:after="156" w:line="360" w:lineRule="auto"/>
        <w:rPr>
          <w:snapToGrid w:val="0"/>
          <w:kern w:val="0"/>
        </w:rPr>
      </w:pPr>
      <w:bookmarkStart w:id="91" w:name="_Toc414213731"/>
      <w:bookmarkStart w:id="92" w:name="_Toc495415960"/>
      <w:bookmarkStart w:id="93" w:name="_Toc212813239"/>
      <w:r>
        <w:rPr>
          <w:rFonts w:hint="eastAsia"/>
          <w:snapToGrid w:val="0"/>
          <w:kern w:val="0"/>
        </w:rPr>
        <w:t>第一节</w:t>
      </w:r>
      <w:r>
        <w:rPr>
          <w:rFonts w:hint="eastAsia"/>
          <w:snapToGrid w:val="0"/>
          <w:kern w:val="0"/>
        </w:rPr>
        <w:t xml:space="preserve"> </w:t>
      </w:r>
      <w:r>
        <w:rPr>
          <w:rFonts w:hint="eastAsia"/>
          <w:snapToGrid w:val="0"/>
          <w:kern w:val="0"/>
        </w:rPr>
        <w:t>通知</w:t>
      </w:r>
      <w:bookmarkEnd w:id="91"/>
      <w:bookmarkEnd w:id="92"/>
      <w:bookmarkEnd w:id="93"/>
    </w:p>
    <w:p w14:paraId="21D7B0DD"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公司的通知以下列形式发出：</w:t>
      </w:r>
    </w:p>
    <w:p w14:paraId="6AA8E4C0"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（一）以专人送出；</w:t>
      </w:r>
    </w:p>
    <w:p w14:paraId="6C5C8B1D"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lastRenderedPageBreak/>
        <w:t>（二）以纸质邮件、电子邮件、传真方式送出；</w:t>
      </w:r>
    </w:p>
    <w:p w14:paraId="3551D0EC" w14:textId="61AAB5CE"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snapToGrid w:val="0"/>
          <w:kern w:val="0"/>
          <w:sz w:val="24"/>
        </w:rPr>
        <w:t>（三）</w:t>
      </w:r>
      <w:r w:rsidR="00117620">
        <w:rPr>
          <w:rFonts w:ascii="宋体" w:hAnsi="宋体" w:cs="Arial" w:hint="eastAsia"/>
          <w:snapToGrid w:val="0"/>
          <w:kern w:val="0"/>
          <w:sz w:val="24"/>
        </w:rPr>
        <w:t>以</w:t>
      </w:r>
      <w:r>
        <w:rPr>
          <w:rFonts w:ascii="宋体" w:hAnsi="宋体" w:cs="Arial"/>
          <w:snapToGrid w:val="0"/>
          <w:kern w:val="0"/>
          <w:sz w:val="24"/>
        </w:rPr>
        <w:t>公告方式进行；</w:t>
      </w:r>
    </w:p>
    <w:p w14:paraId="1EC8AB1A"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（四）</w:t>
      </w:r>
      <w:r>
        <w:rPr>
          <w:rFonts w:ascii="宋体" w:hAnsi="宋体" w:cs="Arial"/>
          <w:snapToGrid w:val="0"/>
          <w:kern w:val="0"/>
          <w:sz w:val="24"/>
        </w:rPr>
        <w:t>本章程规定的其他形式。</w:t>
      </w:r>
    </w:p>
    <w:p w14:paraId="1358D539"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公司发出的通知，以公告方式进行的，一经公告，视为所有相关人员收到通知。</w:t>
      </w:r>
    </w:p>
    <w:p w14:paraId="51F897D7" w14:textId="6D0D8F0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公司召开股东会的会议通知，以公告方式进行。</w:t>
      </w:r>
    </w:p>
    <w:p w14:paraId="48E5EC6B"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公司召开董事会的会议通知，以专人送出、邮件、传真、电子邮件等方式进行。</w:t>
      </w:r>
    </w:p>
    <w:p w14:paraId="50EB5BA5" w14:textId="27BF6DF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公司通知以专人送出的，由被送达人在送达回执上签名（或盖章），被送达人签收日期为送达日期；公司通知以邮件送出的，自交付邮局之日起第</w:t>
      </w:r>
      <w:r>
        <w:rPr>
          <w:rFonts w:ascii="宋体" w:hAnsi="宋体" w:cs="Arial" w:hint="eastAsia"/>
          <w:snapToGrid w:val="0"/>
          <w:kern w:val="0"/>
          <w:sz w:val="24"/>
        </w:rPr>
        <w:t>五</w:t>
      </w:r>
      <w:r>
        <w:rPr>
          <w:rFonts w:ascii="宋体" w:hAnsi="宋体" w:cs="Arial"/>
          <w:snapToGrid w:val="0"/>
          <w:kern w:val="0"/>
          <w:sz w:val="24"/>
        </w:rPr>
        <w:t>个工作日为送达日期；公司通知以公告方式送出的，第一次公告刊登日为送达日期。</w:t>
      </w:r>
      <w:r>
        <w:rPr>
          <w:rFonts w:ascii="宋体" w:hAnsi="宋体" w:cs="Arial" w:hint="eastAsia"/>
          <w:snapToGrid w:val="0"/>
          <w:kern w:val="0"/>
          <w:sz w:val="24"/>
        </w:rPr>
        <w:t>公司通知以传真方式送出的，以传真机发送的传真记录时间为送达日期；公司通知以电子邮件送出的，以发送时间为送达日期。</w:t>
      </w:r>
    </w:p>
    <w:p w14:paraId="7027BAE8"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因意外遗漏未向某有权得到通知的人送出会议通知或者该等人没有收到会议通知，会议及会议</w:t>
      </w:r>
      <w:proofErr w:type="gramStart"/>
      <w:r>
        <w:rPr>
          <w:rFonts w:ascii="宋体" w:hAnsi="宋体" w:cs="Arial"/>
          <w:snapToGrid w:val="0"/>
          <w:kern w:val="0"/>
          <w:sz w:val="24"/>
        </w:rPr>
        <w:t>作出</w:t>
      </w:r>
      <w:proofErr w:type="gramEnd"/>
      <w:r>
        <w:rPr>
          <w:rFonts w:ascii="宋体" w:hAnsi="宋体" w:cs="Arial"/>
          <w:snapToGrid w:val="0"/>
          <w:kern w:val="0"/>
          <w:sz w:val="24"/>
        </w:rPr>
        <w:t>的决议并不因此无效。</w:t>
      </w:r>
    </w:p>
    <w:p w14:paraId="3F3A3AAF" w14:textId="77777777" w:rsidR="005A4DB3" w:rsidRDefault="00F11E53">
      <w:pPr>
        <w:pStyle w:val="2"/>
        <w:spacing w:beforeLines="50" w:before="156" w:afterLines="50" w:after="156" w:line="360" w:lineRule="auto"/>
        <w:rPr>
          <w:snapToGrid w:val="0"/>
          <w:kern w:val="0"/>
        </w:rPr>
      </w:pPr>
      <w:bookmarkStart w:id="94" w:name="_Toc414213732"/>
      <w:bookmarkStart w:id="95" w:name="_Toc495415961"/>
      <w:bookmarkStart w:id="96" w:name="_Toc212813240"/>
      <w:r>
        <w:rPr>
          <w:rFonts w:hint="eastAsia"/>
          <w:snapToGrid w:val="0"/>
          <w:kern w:val="0"/>
        </w:rPr>
        <w:t>第二节</w:t>
      </w:r>
      <w:r>
        <w:rPr>
          <w:rFonts w:hint="eastAsia"/>
          <w:snapToGrid w:val="0"/>
          <w:kern w:val="0"/>
        </w:rPr>
        <w:t xml:space="preserve"> </w:t>
      </w:r>
      <w:r>
        <w:rPr>
          <w:rFonts w:hint="eastAsia"/>
          <w:snapToGrid w:val="0"/>
          <w:kern w:val="0"/>
        </w:rPr>
        <w:t>公告</w:t>
      </w:r>
      <w:bookmarkEnd w:id="94"/>
      <w:bookmarkEnd w:id="95"/>
      <w:bookmarkEnd w:id="96"/>
    </w:p>
    <w:p w14:paraId="37EA34B3"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公司指定报刊和上海证券交易所指定的网站为刊登公司公告和其他需要披露信息的媒体。</w:t>
      </w:r>
    </w:p>
    <w:p w14:paraId="2EF48ACC" w14:textId="75EB72B3" w:rsidR="005A4DB3" w:rsidRDefault="00F11E53">
      <w:pPr>
        <w:pStyle w:val="1"/>
        <w:spacing w:beforeLines="50" w:before="156" w:afterLines="50" w:after="156" w:line="360" w:lineRule="auto"/>
      </w:pPr>
      <w:bookmarkStart w:id="97" w:name="_Toc414213733"/>
      <w:bookmarkStart w:id="98" w:name="_Toc495415962"/>
      <w:bookmarkStart w:id="99" w:name="_Toc212813241"/>
      <w:r>
        <w:t>第十章</w:t>
      </w:r>
      <w:r>
        <w:t xml:space="preserve"> </w:t>
      </w:r>
      <w:r>
        <w:t>合并、分立、增资、减资、解散和清算</w:t>
      </w:r>
      <w:bookmarkEnd w:id="97"/>
      <w:bookmarkEnd w:id="98"/>
      <w:bookmarkEnd w:id="99"/>
    </w:p>
    <w:p w14:paraId="767D90CB" w14:textId="77777777" w:rsidR="005A4DB3" w:rsidRDefault="00F11E53">
      <w:pPr>
        <w:pStyle w:val="2"/>
        <w:spacing w:beforeLines="50" w:before="156" w:afterLines="50" w:after="156" w:line="360" w:lineRule="auto"/>
        <w:rPr>
          <w:snapToGrid w:val="0"/>
          <w:kern w:val="0"/>
        </w:rPr>
      </w:pPr>
      <w:bookmarkStart w:id="100" w:name="_Toc414213734"/>
      <w:bookmarkStart w:id="101" w:name="_Toc495415963"/>
      <w:bookmarkStart w:id="102" w:name="_Toc212813242"/>
      <w:r>
        <w:rPr>
          <w:snapToGrid w:val="0"/>
          <w:kern w:val="0"/>
        </w:rPr>
        <w:t>第一节</w:t>
      </w:r>
      <w:r>
        <w:rPr>
          <w:snapToGrid w:val="0"/>
          <w:kern w:val="0"/>
        </w:rPr>
        <w:t xml:space="preserve"> </w:t>
      </w:r>
      <w:r>
        <w:rPr>
          <w:snapToGrid w:val="0"/>
          <w:kern w:val="0"/>
        </w:rPr>
        <w:t>合并、分立、增资和减资</w:t>
      </w:r>
      <w:bookmarkEnd w:id="100"/>
      <w:bookmarkEnd w:id="101"/>
      <w:bookmarkEnd w:id="102"/>
    </w:p>
    <w:p w14:paraId="4A28B009"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公司合并可以采取吸收合并或者新设合并。</w:t>
      </w:r>
    </w:p>
    <w:p w14:paraId="15F61F8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一个公司吸收其他公司为吸收合并，被吸收的公司解散。两个以上公司合并设立一个新的公司为新设合并，合并各方解散。</w:t>
      </w:r>
    </w:p>
    <w:p w14:paraId="1E23C10E"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公司合并支付的价款不超过本公司净资产百分之十的，可以不经股东会决议，但本章程另有规定的除外。</w:t>
      </w:r>
    </w:p>
    <w:p w14:paraId="5CB1EF1B"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lastRenderedPageBreak/>
        <w:t xml:space="preserve">　　公司依照前款规定合并不经股东会决议的，应当经董事会决议。</w:t>
      </w:r>
    </w:p>
    <w:p w14:paraId="312EC16A"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公司合并，应当由合并各方签订合并协议，并编制资产负债表及财产清单。公司应当自</w:t>
      </w:r>
      <w:proofErr w:type="gramStart"/>
      <w:r>
        <w:rPr>
          <w:rFonts w:ascii="宋体" w:hAnsi="宋体" w:cs="Arial"/>
          <w:snapToGrid w:val="0"/>
          <w:kern w:val="0"/>
          <w:sz w:val="24"/>
        </w:rPr>
        <w:t>作出</w:t>
      </w:r>
      <w:proofErr w:type="gramEnd"/>
      <w:r>
        <w:rPr>
          <w:rFonts w:ascii="宋体" w:hAnsi="宋体" w:cs="Arial"/>
          <w:snapToGrid w:val="0"/>
          <w:kern w:val="0"/>
          <w:sz w:val="24"/>
        </w:rPr>
        <w:t>合并决议之日起十日内通知债权人，并于</w:t>
      </w:r>
      <w:r>
        <w:rPr>
          <w:rFonts w:ascii="宋体" w:hAnsi="宋体" w:cs="Arial" w:hint="eastAsia"/>
          <w:snapToGrid w:val="0"/>
          <w:kern w:val="0"/>
          <w:sz w:val="24"/>
        </w:rPr>
        <w:t>三十</w:t>
      </w:r>
      <w:r>
        <w:rPr>
          <w:rFonts w:ascii="宋体" w:hAnsi="宋体" w:cs="Arial"/>
          <w:snapToGrid w:val="0"/>
          <w:kern w:val="0"/>
          <w:sz w:val="24"/>
        </w:rPr>
        <w:t>日内在</w:t>
      </w:r>
      <w:r>
        <w:rPr>
          <w:rFonts w:ascii="宋体" w:hAnsi="宋体" w:cs="Arial" w:hint="eastAsia"/>
          <w:snapToGrid w:val="0"/>
          <w:kern w:val="0"/>
          <w:sz w:val="24"/>
        </w:rPr>
        <w:t>相关报刊</w:t>
      </w:r>
      <w:r>
        <w:rPr>
          <w:rFonts w:ascii="宋体" w:hAnsi="宋体" w:cs="Arial"/>
          <w:snapToGrid w:val="0"/>
          <w:kern w:val="0"/>
          <w:sz w:val="24"/>
        </w:rPr>
        <w:t>上</w:t>
      </w:r>
      <w:r>
        <w:rPr>
          <w:rFonts w:ascii="宋体" w:hAnsi="宋体" w:cs="Arial" w:hint="eastAsia"/>
          <w:snapToGrid w:val="0"/>
          <w:kern w:val="0"/>
          <w:sz w:val="24"/>
        </w:rPr>
        <w:t>或者国家企业信用信息系统</w:t>
      </w:r>
      <w:r>
        <w:rPr>
          <w:rFonts w:ascii="宋体" w:hAnsi="宋体" w:cs="Arial"/>
          <w:snapToGrid w:val="0"/>
          <w:kern w:val="0"/>
          <w:sz w:val="24"/>
        </w:rPr>
        <w:t>公告。债权人自接到通知书之日起</w:t>
      </w:r>
      <w:r>
        <w:rPr>
          <w:rFonts w:ascii="宋体" w:hAnsi="宋体" w:cs="Arial" w:hint="eastAsia"/>
          <w:snapToGrid w:val="0"/>
          <w:kern w:val="0"/>
          <w:sz w:val="24"/>
        </w:rPr>
        <w:t>三十</w:t>
      </w:r>
      <w:r>
        <w:rPr>
          <w:rFonts w:ascii="宋体" w:hAnsi="宋体" w:cs="Arial"/>
          <w:snapToGrid w:val="0"/>
          <w:kern w:val="0"/>
          <w:sz w:val="24"/>
        </w:rPr>
        <w:t>日内，未接到通知书的自公告之日起</w:t>
      </w:r>
      <w:r>
        <w:rPr>
          <w:rFonts w:ascii="宋体" w:hAnsi="宋体" w:cs="Arial" w:hint="eastAsia"/>
          <w:snapToGrid w:val="0"/>
          <w:kern w:val="0"/>
          <w:sz w:val="24"/>
        </w:rPr>
        <w:t>四十五</w:t>
      </w:r>
      <w:r>
        <w:rPr>
          <w:rFonts w:ascii="宋体" w:hAnsi="宋体" w:cs="Arial"/>
          <w:snapToGrid w:val="0"/>
          <w:kern w:val="0"/>
          <w:sz w:val="24"/>
        </w:rPr>
        <w:t>日内，可以要求公司清偿债务或者提供相应的担保。</w:t>
      </w:r>
    </w:p>
    <w:p w14:paraId="69BEDAD8"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公司合并时，合并各方的债权、债务，由合并后存续的公司或者新设的公司承继。</w:t>
      </w:r>
    </w:p>
    <w:p w14:paraId="59DE7A6B"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公司分立，其财产作相应的分割。</w:t>
      </w:r>
    </w:p>
    <w:p w14:paraId="470B2E91"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公司分立，应当编制资产负债表及财产清单。公司应当自</w:t>
      </w:r>
      <w:proofErr w:type="gramStart"/>
      <w:r>
        <w:rPr>
          <w:rFonts w:ascii="宋体" w:hAnsi="宋体" w:cs="Arial"/>
          <w:snapToGrid w:val="0"/>
          <w:kern w:val="0"/>
          <w:sz w:val="24"/>
        </w:rPr>
        <w:t>作出</w:t>
      </w:r>
      <w:proofErr w:type="gramEnd"/>
      <w:r>
        <w:rPr>
          <w:rFonts w:ascii="宋体" w:hAnsi="宋体" w:cs="Arial"/>
          <w:snapToGrid w:val="0"/>
          <w:kern w:val="0"/>
          <w:sz w:val="24"/>
        </w:rPr>
        <w:t>分立决议之日起十日内通知债权人，并于</w:t>
      </w:r>
      <w:r>
        <w:rPr>
          <w:rFonts w:ascii="宋体" w:hAnsi="宋体" w:cs="Arial" w:hint="eastAsia"/>
          <w:snapToGrid w:val="0"/>
          <w:kern w:val="0"/>
          <w:sz w:val="24"/>
        </w:rPr>
        <w:t>三十</w:t>
      </w:r>
      <w:r>
        <w:rPr>
          <w:rFonts w:ascii="宋体" w:hAnsi="宋体" w:cs="Arial"/>
          <w:snapToGrid w:val="0"/>
          <w:kern w:val="0"/>
          <w:sz w:val="24"/>
        </w:rPr>
        <w:t>日内在</w:t>
      </w:r>
      <w:r>
        <w:rPr>
          <w:rFonts w:ascii="宋体" w:hAnsi="宋体" w:cs="Arial" w:hint="eastAsia"/>
          <w:snapToGrid w:val="0"/>
          <w:kern w:val="0"/>
          <w:sz w:val="24"/>
        </w:rPr>
        <w:t>相关报刊</w:t>
      </w:r>
      <w:r>
        <w:rPr>
          <w:rFonts w:ascii="宋体" w:hAnsi="宋体" w:cs="Arial"/>
          <w:snapToGrid w:val="0"/>
          <w:kern w:val="0"/>
          <w:sz w:val="24"/>
        </w:rPr>
        <w:t>上</w:t>
      </w:r>
      <w:r>
        <w:rPr>
          <w:rFonts w:ascii="宋体" w:hAnsi="宋体" w:cs="Arial" w:hint="eastAsia"/>
          <w:snapToGrid w:val="0"/>
          <w:kern w:val="0"/>
          <w:sz w:val="24"/>
        </w:rPr>
        <w:t>或者国家企业信用信息公示系统</w:t>
      </w:r>
      <w:r>
        <w:rPr>
          <w:rFonts w:ascii="宋体" w:hAnsi="宋体" w:cs="Arial"/>
          <w:snapToGrid w:val="0"/>
          <w:kern w:val="0"/>
          <w:sz w:val="24"/>
        </w:rPr>
        <w:t>公告。</w:t>
      </w:r>
    </w:p>
    <w:p w14:paraId="1306466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公司分立前的债务由分立后的公司承担连带责任。但是，公司在分立前与债权人就债务清偿达成的书面协议另有约定的除外。</w:t>
      </w:r>
    </w:p>
    <w:p w14:paraId="72C762BC" w14:textId="0979DC19"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公司减少注册资本时，</w:t>
      </w:r>
      <w:r>
        <w:rPr>
          <w:rFonts w:ascii="宋体" w:hAnsi="宋体" w:cs="Arial" w:hint="eastAsia"/>
          <w:snapToGrid w:val="0"/>
          <w:kern w:val="0"/>
          <w:sz w:val="24"/>
        </w:rPr>
        <w:t>将</w:t>
      </w:r>
      <w:r>
        <w:rPr>
          <w:rFonts w:ascii="宋体" w:hAnsi="宋体" w:cs="Arial"/>
          <w:snapToGrid w:val="0"/>
          <w:kern w:val="0"/>
          <w:sz w:val="24"/>
        </w:rPr>
        <w:t>编制资产负债表及财产清单。</w:t>
      </w:r>
    </w:p>
    <w:p w14:paraId="6623C287" w14:textId="6D832139"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w:t>
      </w:r>
      <w:proofErr w:type="gramStart"/>
      <w:r>
        <w:rPr>
          <w:rFonts w:ascii="宋体" w:hAnsi="宋体" w:cs="Arial"/>
          <w:snapToGrid w:val="0"/>
          <w:kern w:val="0"/>
          <w:sz w:val="24"/>
        </w:rPr>
        <w:t>自</w:t>
      </w:r>
      <w:r>
        <w:rPr>
          <w:rFonts w:ascii="宋体" w:hAnsi="宋体" w:cs="Arial" w:hint="eastAsia"/>
          <w:snapToGrid w:val="0"/>
          <w:kern w:val="0"/>
          <w:sz w:val="24"/>
        </w:rPr>
        <w:t>股东</w:t>
      </w:r>
      <w:proofErr w:type="gramEnd"/>
      <w:r>
        <w:rPr>
          <w:rFonts w:ascii="宋体" w:hAnsi="宋体" w:cs="Arial" w:hint="eastAsia"/>
          <w:snapToGrid w:val="0"/>
          <w:kern w:val="0"/>
          <w:sz w:val="24"/>
        </w:rPr>
        <w:t>会</w:t>
      </w:r>
      <w:proofErr w:type="gramStart"/>
      <w:r>
        <w:rPr>
          <w:rFonts w:ascii="宋体" w:hAnsi="宋体" w:cs="Arial"/>
          <w:snapToGrid w:val="0"/>
          <w:kern w:val="0"/>
          <w:sz w:val="24"/>
        </w:rPr>
        <w:t>作出</w:t>
      </w:r>
      <w:proofErr w:type="gramEnd"/>
      <w:r>
        <w:rPr>
          <w:rFonts w:ascii="宋体" w:hAnsi="宋体" w:cs="Arial"/>
          <w:snapToGrid w:val="0"/>
          <w:kern w:val="0"/>
          <w:sz w:val="24"/>
        </w:rPr>
        <w:t>减少注册资本决议之日起十日内通知债权人，并于</w:t>
      </w:r>
      <w:r>
        <w:rPr>
          <w:rFonts w:ascii="宋体" w:hAnsi="宋体" w:cs="Arial" w:hint="eastAsia"/>
          <w:snapToGrid w:val="0"/>
          <w:kern w:val="0"/>
          <w:sz w:val="24"/>
        </w:rPr>
        <w:t>三十</w:t>
      </w:r>
      <w:r>
        <w:rPr>
          <w:rFonts w:ascii="宋体" w:hAnsi="宋体" w:cs="Arial"/>
          <w:snapToGrid w:val="0"/>
          <w:kern w:val="0"/>
          <w:sz w:val="24"/>
        </w:rPr>
        <w:t>日内在</w:t>
      </w:r>
      <w:r>
        <w:rPr>
          <w:rFonts w:ascii="宋体" w:hAnsi="宋体" w:cs="Arial" w:hint="eastAsia"/>
          <w:snapToGrid w:val="0"/>
          <w:kern w:val="0"/>
          <w:sz w:val="24"/>
        </w:rPr>
        <w:t>相关报刊</w:t>
      </w:r>
      <w:r>
        <w:rPr>
          <w:rFonts w:ascii="宋体" w:hAnsi="宋体" w:cs="Arial"/>
          <w:snapToGrid w:val="0"/>
          <w:kern w:val="0"/>
          <w:sz w:val="24"/>
        </w:rPr>
        <w:t>上</w:t>
      </w:r>
      <w:r>
        <w:rPr>
          <w:rFonts w:ascii="宋体" w:hAnsi="宋体" w:cs="Arial" w:hint="eastAsia"/>
          <w:snapToGrid w:val="0"/>
          <w:kern w:val="0"/>
          <w:sz w:val="24"/>
        </w:rPr>
        <w:t>或者国家企业信用信息公示系统</w:t>
      </w:r>
      <w:r>
        <w:rPr>
          <w:rFonts w:ascii="宋体" w:hAnsi="宋体" w:cs="Arial"/>
          <w:snapToGrid w:val="0"/>
          <w:kern w:val="0"/>
          <w:sz w:val="24"/>
        </w:rPr>
        <w:t>公告。债权人自接到通知书之日起</w:t>
      </w:r>
      <w:r>
        <w:rPr>
          <w:rFonts w:ascii="宋体" w:hAnsi="宋体" w:cs="Arial" w:hint="eastAsia"/>
          <w:snapToGrid w:val="0"/>
          <w:kern w:val="0"/>
          <w:sz w:val="24"/>
        </w:rPr>
        <w:t>三十</w:t>
      </w:r>
      <w:r>
        <w:rPr>
          <w:rFonts w:ascii="宋体" w:hAnsi="宋体" w:cs="Arial"/>
          <w:snapToGrid w:val="0"/>
          <w:kern w:val="0"/>
          <w:sz w:val="24"/>
        </w:rPr>
        <w:t>日内，未接到通知书的自公告之日起</w:t>
      </w:r>
      <w:r>
        <w:rPr>
          <w:rFonts w:ascii="宋体" w:hAnsi="宋体" w:cs="Arial" w:hint="eastAsia"/>
          <w:snapToGrid w:val="0"/>
          <w:kern w:val="0"/>
          <w:sz w:val="24"/>
        </w:rPr>
        <w:t>四十五</w:t>
      </w:r>
      <w:r>
        <w:rPr>
          <w:rFonts w:ascii="宋体" w:hAnsi="宋体" w:cs="Arial"/>
          <w:snapToGrid w:val="0"/>
          <w:kern w:val="0"/>
          <w:sz w:val="24"/>
        </w:rPr>
        <w:t>日内，有权要求公司清偿债务或者提供相应的担保。</w:t>
      </w:r>
    </w:p>
    <w:p w14:paraId="04EA952E" w14:textId="5A9E6E6F"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公司减少注册资本，应当按照股东持有股份的比例相应减少出资额或者股份，法律或者本章程另有规定的除外</w:t>
      </w:r>
      <w:r>
        <w:rPr>
          <w:rFonts w:ascii="宋体" w:hAnsi="宋体" w:cs="Arial"/>
          <w:snapToGrid w:val="0"/>
          <w:kern w:val="0"/>
          <w:sz w:val="24"/>
        </w:rPr>
        <w:t>。</w:t>
      </w:r>
    </w:p>
    <w:p w14:paraId="3669BAE9"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公司依照本章程第一百五十七条第二款的规定弥补亏损后，仍有亏损的，可以减少注册资本弥补亏损。减少注册资本弥补亏损的，公司不得向股东分配，也不得免除股东缴纳出资或者股款的义务。</w:t>
      </w:r>
    </w:p>
    <w:p w14:paraId="1134552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依照前款规定减少注册资本的，不适用本章程第一百八十四条第二款的规定，但应当</w:t>
      </w:r>
      <w:proofErr w:type="gramStart"/>
      <w:r>
        <w:rPr>
          <w:rFonts w:ascii="宋体" w:hAnsi="宋体" w:cs="Arial" w:hint="eastAsia"/>
          <w:snapToGrid w:val="0"/>
          <w:kern w:val="0"/>
          <w:sz w:val="24"/>
        </w:rPr>
        <w:t>自股东</w:t>
      </w:r>
      <w:proofErr w:type="gramEnd"/>
      <w:r>
        <w:rPr>
          <w:rFonts w:ascii="宋体" w:hAnsi="宋体" w:cs="Arial" w:hint="eastAsia"/>
          <w:snapToGrid w:val="0"/>
          <w:kern w:val="0"/>
          <w:sz w:val="24"/>
        </w:rPr>
        <w:t>会</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减少注册资本决议之日起三十日内在相关报刊上或者国家</w:t>
      </w:r>
      <w:r>
        <w:rPr>
          <w:rFonts w:ascii="宋体" w:hAnsi="宋体" w:cs="Arial" w:hint="eastAsia"/>
          <w:snapToGrid w:val="0"/>
          <w:kern w:val="0"/>
          <w:sz w:val="24"/>
        </w:rPr>
        <w:lastRenderedPageBreak/>
        <w:t>企业信用信息公示系统公告。</w:t>
      </w:r>
    </w:p>
    <w:p w14:paraId="1FB2E70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公司依照前两款的规定减少注册资本后，在法定公积金和任意公积金累计额达到公司注册资本百分之五十前，不得分配利润。</w:t>
      </w:r>
    </w:p>
    <w:p w14:paraId="2D568E34"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违反《公司法》及其他相关规定减少注册资本的，股东应当退还其收到的资金，减免股东出资的应当恢复原状；给公司造成损失的，股东及负有责任的董事、高级管理人员应当承担赔偿责任。</w:t>
      </w:r>
    </w:p>
    <w:p w14:paraId="6C9A285F" w14:textId="77777777"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公司为增加注册资本发行新股时，股东不享有优先认购权，本章程另有规定或者股东会决议决定股东享有优先认购权的除外。</w:t>
      </w:r>
    </w:p>
    <w:p w14:paraId="710BA94A"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公司合并或者分立，登记事项发生变更的，应当依法向公司登记机关办理变更登记；公司解散的，应当依法办理公司注销登记；设立新公司的，应当依法办理公司设立登记。</w:t>
      </w:r>
    </w:p>
    <w:p w14:paraId="676A618F"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公司增加或者减少注册资本，应当依法向公司登记机关办理变更登记。</w:t>
      </w:r>
    </w:p>
    <w:p w14:paraId="772D9784" w14:textId="77777777" w:rsidR="005A4DB3" w:rsidRDefault="00F11E53">
      <w:pPr>
        <w:pStyle w:val="2"/>
        <w:spacing w:beforeLines="50" w:before="156" w:afterLines="50" w:after="156" w:line="360" w:lineRule="auto"/>
        <w:rPr>
          <w:snapToGrid w:val="0"/>
          <w:kern w:val="0"/>
        </w:rPr>
      </w:pPr>
      <w:bookmarkStart w:id="103" w:name="_Toc414213735"/>
      <w:bookmarkStart w:id="104" w:name="_Toc495415964"/>
      <w:bookmarkStart w:id="105" w:name="_Toc212813243"/>
      <w:r>
        <w:rPr>
          <w:snapToGrid w:val="0"/>
          <w:kern w:val="0"/>
        </w:rPr>
        <w:t>第二节</w:t>
      </w:r>
      <w:r>
        <w:rPr>
          <w:snapToGrid w:val="0"/>
          <w:kern w:val="0"/>
        </w:rPr>
        <w:t xml:space="preserve"> </w:t>
      </w:r>
      <w:r>
        <w:rPr>
          <w:snapToGrid w:val="0"/>
          <w:kern w:val="0"/>
        </w:rPr>
        <w:t>解散和清算</w:t>
      </w:r>
      <w:bookmarkEnd w:id="103"/>
      <w:bookmarkEnd w:id="104"/>
      <w:bookmarkEnd w:id="105"/>
    </w:p>
    <w:p w14:paraId="2B1AAABA"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公司因下列原因解散：</w:t>
      </w:r>
    </w:p>
    <w:p w14:paraId="39145A2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（一）</w:t>
      </w:r>
      <w:r>
        <w:rPr>
          <w:rFonts w:ascii="宋体" w:hAnsi="宋体" w:cs="Arial" w:hint="eastAsia"/>
          <w:snapToGrid w:val="0"/>
          <w:kern w:val="0"/>
          <w:sz w:val="24"/>
        </w:rPr>
        <w:t>本章程规定的营业期限届满或者</w:t>
      </w:r>
      <w:r>
        <w:rPr>
          <w:rFonts w:ascii="宋体" w:hAnsi="宋体" w:cs="Arial"/>
          <w:snapToGrid w:val="0"/>
          <w:kern w:val="0"/>
          <w:sz w:val="24"/>
        </w:rPr>
        <w:t>本章程规定的其他解散事由出现；</w:t>
      </w:r>
    </w:p>
    <w:p w14:paraId="5CD2F63C" w14:textId="0AFF735E"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（二）股东会决议解散；</w:t>
      </w:r>
    </w:p>
    <w:p w14:paraId="243D4FD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（三）因公司合并或者分立需要解散；</w:t>
      </w:r>
    </w:p>
    <w:p w14:paraId="5F2D929F"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（四）依法被吊销营业执照、责令关闭或者被撤销；</w:t>
      </w:r>
    </w:p>
    <w:p w14:paraId="725EC695" w14:textId="161CDEE5"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（五）公司经营管理发生严重困难，继续存续会使股东利益受到重大损失，通过其他途径不能解决的，持有公司百分之十以上表决权的股东，可以请求人民法院解散公司。</w:t>
      </w:r>
    </w:p>
    <w:p w14:paraId="38F546C1"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公司出现前款规定的解散事由，应当在十日内将解散事由通过国家企业信用信息公示系统予以公示。</w:t>
      </w:r>
    </w:p>
    <w:p w14:paraId="34A82112" w14:textId="44A550D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公司有本章程第一百</w:t>
      </w:r>
      <w:r>
        <w:rPr>
          <w:rFonts w:ascii="宋体" w:hAnsi="宋体" w:cs="Arial" w:hint="eastAsia"/>
          <w:snapToGrid w:val="0"/>
          <w:kern w:val="0"/>
          <w:sz w:val="24"/>
        </w:rPr>
        <w:t>八十九</w:t>
      </w:r>
      <w:r>
        <w:rPr>
          <w:rFonts w:ascii="宋体" w:hAnsi="宋体" w:cs="Arial"/>
          <w:snapToGrid w:val="0"/>
          <w:kern w:val="0"/>
          <w:sz w:val="24"/>
        </w:rPr>
        <w:t>条第（一）项情形的</w:t>
      </w:r>
      <w:r>
        <w:rPr>
          <w:rFonts w:ascii="宋体" w:hAnsi="宋体" w:cs="Arial" w:hint="eastAsia"/>
          <w:snapToGrid w:val="0"/>
          <w:kern w:val="0"/>
          <w:sz w:val="24"/>
        </w:rPr>
        <w:t>、第（二）项情形</w:t>
      </w:r>
      <w:r>
        <w:rPr>
          <w:rFonts w:ascii="宋体" w:hAnsi="宋体" w:cs="Arial"/>
          <w:snapToGrid w:val="0"/>
          <w:kern w:val="0"/>
          <w:sz w:val="24"/>
        </w:rPr>
        <w:t>，</w:t>
      </w:r>
      <w:r>
        <w:rPr>
          <w:rFonts w:ascii="宋体" w:hAnsi="宋体" w:cs="Arial" w:hint="eastAsia"/>
          <w:snapToGrid w:val="0"/>
          <w:kern w:val="0"/>
          <w:sz w:val="24"/>
        </w:rPr>
        <w:t>且尚未向股东分配财产的，可以通过修改本章程或者经股东会决议而存续。</w:t>
      </w:r>
    </w:p>
    <w:p w14:paraId="310989E7"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lastRenderedPageBreak/>
        <w:t xml:space="preserve">　　依照前款规定修改本章程或者股东会</w:t>
      </w:r>
      <w:proofErr w:type="gramStart"/>
      <w:r>
        <w:rPr>
          <w:rFonts w:ascii="宋体" w:hAnsi="宋体" w:cs="Arial" w:hint="eastAsia"/>
          <w:snapToGrid w:val="0"/>
          <w:kern w:val="0"/>
          <w:sz w:val="24"/>
        </w:rPr>
        <w:t>作出</w:t>
      </w:r>
      <w:proofErr w:type="gramEnd"/>
      <w:r>
        <w:rPr>
          <w:rFonts w:ascii="宋体" w:hAnsi="宋体" w:cs="Arial" w:hint="eastAsia"/>
          <w:snapToGrid w:val="0"/>
          <w:kern w:val="0"/>
          <w:sz w:val="24"/>
        </w:rPr>
        <w:t>决议的，须经出席股东会会议的股东所持表决权的三分之二以上通过。</w:t>
      </w:r>
    </w:p>
    <w:p w14:paraId="4909EC45" w14:textId="751E06B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公司因本章程第一百</w:t>
      </w:r>
      <w:r>
        <w:rPr>
          <w:rFonts w:ascii="宋体" w:hAnsi="宋体" w:cs="Arial" w:hint="eastAsia"/>
          <w:snapToGrid w:val="0"/>
          <w:kern w:val="0"/>
          <w:sz w:val="24"/>
        </w:rPr>
        <w:t>八十九</w:t>
      </w:r>
      <w:r>
        <w:rPr>
          <w:rFonts w:ascii="宋体" w:hAnsi="宋体" w:cs="Arial"/>
          <w:snapToGrid w:val="0"/>
          <w:kern w:val="0"/>
          <w:sz w:val="24"/>
        </w:rPr>
        <w:t>条第（一）项、第（二）项、第（四）项、第（五）项规定而解散的，</w:t>
      </w:r>
      <w:r>
        <w:rPr>
          <w:rFonts w:ascii="宋体" w:hAnsi="宋体" w:cs="Arial" w:hint="eastAsia"/>
          <w:snapToGrid w:val="0"/>
          <w:kern w:val="0"/>
          <w:sz w:val="24"/>
        </w:rPr>
        <w:t>应当清算</w:t>
      </w:r>
      <w:r>
        <w:rPr>
          <w:rFonts w:ascii="宋体" w:hAnsi="宋体" w:cs="Arial"/>
          <w:snapToGrid w:val="0"/>
          <w:kern w:val="0"/>
          <w:sz w:val="24"/>
        </w:rPr>
        <w:t>。</w:t>
      </w:r>
      <w:r>
        <w:rPr>
          <w:rFonts w:ascii="宋体" w:hAnsi="宋体" w:cs="Arial" w:hint="eastAsia"/>
          <w:snapToGrid w:val="0"/>
          <w:kern w:val="0"/>
          <w:sz w:val="24"/>
        </w:rPr>
        <w:t>董事为公司清算义务人，应当在解散事由出现之日起十五日内组成清算组进行清算。</w:t>
      </w:r>
    </w:p>
    <w:p w14:paraId="1CB9E3EB" w14:textId="77777777" w:rsidR="005A4DB3" w:rsidRDefault="00F11E53">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清算组由董事组成，但是本章程另有规定或者股东会决议另选他人的除外。</w:t>
      </w:r>
    </w:p>
    <w:p w14:paraId="22696179"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清算义务人未及时履行清算义务，给公司或者债权人造成损失的，应当承担赔偿责任。</w:t>
      </w:r>
    </w:p>
    <w:p w14:paraId="3FCD3427"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清算组在清算期间行使下列职权：</w:t>
      </w:r>
    </w:p>
    <w:p w14:paraId="3E5683C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（一）清理公司财产，分别编制资产负债表和财产清单；</w:t>
      </w:r>
    </w:p>
    <w:p w14:paraId="180B1BD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（二）通知、公告债权人；</w:t>
      </w:r>
    </w:p>
    <w:p w14:paraId="7D374B02"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（三）处理与清算有关的公司未了结的业务；</w:t>
      </w:r>
    </w:p>
    <w:p w14:paraId="4D45985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（四）清缴所欠税款以及清算过程中产生的税款；</w:t>
      </w:r>
    </w:p>
    <w:p w14:paraId="01F325BE"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（五）清理债权、债务；</w:t>
      </w:r>
    </w:p>
    <w:p w14:paraId="67FBAA76"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（六）处理公司清偿债务后的剩余财产；</w:t>
      </w:r>
    </w:p>
    <w:p w14:paraId="3CC752CD"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（七）代表公司参与民事诉讼活动。</w:t>
      </w:r>
    </w:p>
    <w:p w14:paraId="45C05C76"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清算组应当自成立之日起10日内通知债权人，并于60日内在相关报刊或者国家企业信用信息公示系统公告。债权人应当自接到通知书之日起30日内，未接到通知书的自公告之日起45日内，向清算组申报其债权。</w:t>
      </w:r>
    </w:p>
    <w:p w14:paraId="7FA7FA79"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债权人申报债权，应当说明债权的有关事项，并提供证明材料。清算组应当对债权进行登记。</w:t>
      </w:r>
    </w:p>
    <w:p w14:paraId="6A40EB77"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在申报债权期间，清算</w:t>
      </w:r>
      <w:proofErr w:type="gramStart"/>
      <w:r>
        <w:rPr>
          <w:rFonts w:ascii="宋体" w:hAnsi="宋体" w:cs="Arial"/>
          <w:snapToGrid w:val="0"/>
          <w:kern w:val="0"/>
          <w:sz w:val="24"/>
        </w:rPr>
        <w:t>组不得</w:t>
      </w:r>
      <w:proofErr w:type="gramEnd"/>
      <w:r>
        <w:rPr>
          <w:rFonts w:ascii="宋体" w:hAnsi="宋体" w:cs="Arial"/>
          <w:snapToGrid w:val="0"/>
          <w:kern w:val="0"/>
          <w:sz w:val="24"/>
        </w:rPr>
        <w:t>对债权人进行清偿。</w:t>
      </w:r>
    </w:p>
    <w:p w14:paraId="579629A4" w14:textId="722C4A55"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清算组在清理公司财产、编制资产负债表和财产清单后，应当制</w:t>
      </w:r>
      <w:r>
        <w:rPr>
          <w:rFonts w:ascii="宋体" w:hAnsi="宋体" w:cs="Arial" w:hint="eastAsia"/>
          <w:snapToGrid w:val="0"/>
          <w:kern w:val="0"/>
          <w:sz w:val="24"/>
        </w:rPr>
        <w:t>订</w:t>
      </w:r>
      <w:r>
        <w:rPr>
          <w:rFonts w:ascii="宋体" w:hAnsi="宋体" w:cs="Arial"/>
          <w:snapToGrid w:val="0"/>
          <w:kern w:val="0"/>
          <w:sz w:val="24"/>
        </w:rPr>
        <w:t>清算方案，并报股东会或者人民法院确认。</w:t>
      </w:r>
    </w:p>
    <w:p w14:paraId="36C86A9F"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lastRenderedPageBreak/>
        <w:t>公司财产在分别支付清算费用、职工的工资、社会保险费用和法定补偿金，缴纳所欠税款，清偿公司债务后的剩余财产，公司按照股东持有的股份比例分配。</w:t>
      </w:r>
    </w:p>
    <w:p w14:paraId="41AF1AC5" w14:textId="6FD1CCE3"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清算期间，公司存续，但不</w:t>
      </w:r>
      <w:r w:rsidR="005E7B4D">
        <w:rPr>
          <w:rFonts w:ascii="宋体" w:hAnsi="宋体" w:cs="Arial" w:hint="eastAsia"/>
          <w:snapToGrid w:val="0"/>
          <w:kern w:val="0"/>
          <w:sz w:val="24"/>
        </w:rPr>
        <w:t>得</w:t>
      </w:r>
      <w:r>
        <w:rPr>
          <w:rFonts w:ascii="宋体" w:hAnsi="宋体" w:cs="Arial"/>
          <w:snapToGrid w:val="0"/>
          <w:kern w:val="0"/>
          <w:sz w:val="24"/>
        </w:rPr>
        <w:t>开展与清算无关的经营活动。</w:t>
      </w:r>
    </w:p>
    <w:p w14:paraId="75A2DC91"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公司财产在未按前款规定清偿前，将不会分配给股东。</w:t>
      </w:r>
    </w:p>
    <w:p w14:paraId="03F4A130" w14:textId="282C81F0"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清算组在清理公司财产、编制资产负债表和财产清单后，发现公司财产不足清偿债务的，应当依法向人民法院申请</w:t>
      </w:r>
      <w:r>
        <w:rPr>
          <w:rFonts w:ascii="宋体" w:hAnsi="宋体" w:cs="Arial" w:hint="eastAsia"/>
          <w:snapToGrid w:val="0"/>
          <w:kern w:val="0"/>
          <w:sz w:val="24"/>
        </w:rPr>
        <w:t>破产清算</w:t>
      </w:r>
      <w:r>
        <w:rPr>
          <w:rFonts w:ascii="宋体" w:hAnsi="宋体" w:cs="Arial"/>
          <w:snapToGrid w:val="0"/>
          <w:kern w:val="0"/>
          <w:sz w:val="24"/>
        </w:rPr>
        <w:t>。</w:t>
      </w:r>
    </w:p>
    <w:p w14:paraId="3A1A20B7" w14:textId="5B01CDA2"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人民法院受理破产申请后，清算组应当将清算事务移交给人民法院指定的破产管理人。</w:t>
      </w:r>
    </w:p>
    <w:p w14:paraId="1765E07A" w14:textId="3A14FFB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公司清算结束后，清算组应当制作清算报告，报股东会或者人民法院确认，并报送公司登记机关，申请注销公司登记。</w:t>
      </w:r>
    </w:p>
    <w:p w14:paraId="3A61738D" w14:textId="52A2AB9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清算组成员</w:t>
      </w:r>
      <w:r>
        <w:rPr>
          <w:rFonts w:ascii="宋体" w:hAnsi="宋体" w:cs="Arial" w:hint="eastAsia"/>
          <w:snapToGrid w:val="0"/>
          <w:kern w:val="0"/>
          <w:sz w:val="24"/>
        </w:rPr>
        <w:t>履行清算职责，负有忠实义务和勤勉义务</w:t>
      </w:r>
      <w:r>
        <w:rPr>
          <w:rFonts w:ascii="宋体" w:hAnsi="宋体" w:cs="Arial"/>
          <w:snapToGrid w:val="0"/>
          <w:kern w:val="0"/>
          <w:sz w:val="24"/>
        </w:rPr>
        <w:t>。</w:t>
      </w:r>
    </w:p>
    <w:p w14:paraId="479AA9C9" w14:textId="77777777" w:rsidR="005A4DB3" w:rsidRDefault="00F11E53" w:rsidP="00292011">
      <w:pPr>
        <w:adjustRightInd w:val="0"/>
        <w:snapToGrid w:val="0"/>
        <w:spacing w:beforeLines="50" w:before="156" w:afterLines="50" w:after="156" w:line="360" w:lineRule="auto"/>
        <w:rPr>
          <w:rFonts w:ascii="宋体" w:hAnsi="宋体" w:cs="Arial" w:hint="eastAsia"/>
          <w:snapToGrid w:val="0"/>
          <w:kern w:val="0"/>
          <w:sz w:val="24"/>
        </w:rPr>
      </w:pPr>
      <w:r>
        <w:rPr>
          <w:rFonts w:ascii="宋体" w:hAnsi="宋体" w:cs="Arial" w:hint="eastAsia"/>
          <w:snapToGrid w:val="0"/>
          <w:kern w:val="0"/>
          <w:sz w:val="24"/>
        </w:rPr>
        <w:t xml:space="preserve">　　清算组成员</w:t>
      </w:r>
      <w:proofErr w:type="gramStart"/>
      <w:r>
        <w:rPr>
          <w:rFonts w:ascii="宋体" w:hAnsi="宋体" w:cs="Arial" w:hint="eastAsia"/>
          <w:snapToGrid w:val="0"/>
          <w:kern w:val="0"/>
          <w:sz w:val="24"/>
        </w:rPr>
        <w:t>怠</w:t>
      </w:r>
      <w:proofErr w:type="gramEnd"/>
      <w:r>
        <w:rPr>
          <w:rFonts w:ascii="宋体" w:hAnsi="宋体" w:cs="Arial" w:hint="eastAsia"/>
          <w:snapToGrid w:val="0"/>
          <w:kern w:val="0"/>
          <w:sz w:val="24"/>
        </w:rPr>
        <w:t>于履行清算职责，给公司造成损失的，应当承担赔偿责任；因故意或者重大过失给债权人造成损失的，应当承担赔偿责任。</w:t>
      </w:r>
    </w:p>
    <w:p w14:paraId="2A6A0438" w14:textId="601AD303"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公司被依法宣告破产的，依照有关企业破产的法律实施破产清算。</w:t>
      </w:r>
    </w:p>
    <w:p w14:paraId="40309A35" w14:textId="001DF1FC" w:rsidR="005A4DB3" w:rsidRDefault="00F11E53">
      <w:pPr>
        <w:pStyle w:val="1"/>
        <w:tabs>
          <w:tab w:val="left" w:pos="3828"/>
        </w:tabs>
        <w:spacing w:beforeLines="50" w:before="156" w:afterLines="50" w:after="156" w:line="360" w:lineRule="auto"/>
      </w:pPr>
      <w:bookmarkStart w:id="106" w:name="_Toc414213737"/>
      <w:bookmarkStart w:id="107" w:name="_Toc495415965"/>
      <w:bookmarkStart w:id="108" w:name="_Toc212813244"/>
      <w:r>
        <w:rPr>
          <w:rFonts w:hint="eastAsia"/>
        </w:rPr>
        <w:t>第十一章</w:t>
      </w:r>
      <w:r>
        <w:rPr>
          <w:rFonts w:hint="eastAsia"/>
        </w:rPr>
        <w:t xml:space="preserve"> </w:t>
      </w:r>
      <w:r>
        <w:t>修改章程</w:t>
      </w:r>
      <w:bookmarkEnd w:id="106"/>
      <w:bookmarkEnd w:id="107"/>
      <w:bookmarkEnd w:id="108"/>
    </w:p>
    <w:p w14:paraId="2398B022" w14:textId="6B2CC74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有下列情形之一的，公司</w:t>
      </w:r>
      <w:r>
        <w:rPr>
          <w:rFonts w:ascii="宋体" w:hAnsi="宋体" w:cs="Arial" w:hint="eastAsia"/>
          <w:snapToGrid w:val="0"/>
          <w:kern w:val="0"/>
          <w:sz w:val="24"/>
        </w:rPr>
        <w:t>将</w:t>
      </w:r>
      <w:r>
        <w:rPr>
          <w:rFonts w:ascii="宋体" w:hAnsi="宋体" w:cs="Arial"/>
          <w:snapToGrid w:val="0"/>
          <w:kern w:val="0"/>
          <w:sz w:val="24"/>
        </w:rPr>
        <w:t>修改章程：</w:t>
      </w:r>
    </w:p>
    <w:p w14:paraId="33A9C9C4"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（一）《公司法》或有关法律、行政法规修改后，章程规定的事项与修改后的法律、行政法规的规定相抵触；</w:t>
      </w:r>
    </w:p>
    <w:p w14:paraId="13AE2DA3"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（二）公司的情况发生变化，与章程记载的事项不一致；</w:t>
      </w:r>
    </w:p>
    <w:p w14:paraId="1C1979FE" w14:textId="2FE530C1"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（三）股东会决定修改章程。</w:t>
      </w:r>
    </w:p>
    <w:p w14:paraId="1869CC75" w14:textId="068C26AC"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股东会决议通过的章程修改事项应经主管机关审批的，须报主管机关批准；涉及公司登记事项的，依法办理变更登记。</w:t>
      </w:r>
    </w:p>
    <w:p w14:paraId="2DD56D69" w14:textId="49B43DB2"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董事会依照股东会修改章程的决议和有关主管机关的审批意见</w:t>
      </w:r>
      <w:r>
        <w:rPr>
          <w:rFonts w:ascii="宋体" w:hAnsi="宋体" w:cs="Arial"/>
          <w:snapToGrid w:val="0"/>
          <w:kern w:val="0"/>
          <w:sz w:val="24"/>
        </w:rPr>
        <w:lastRenderedPageBreak/>
        <w:t>修改本章程。</w:t>
      </w:r>
    </w:p>
    <w:p w14:paraId="6FD324D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章程修改事项属于法律、行政法规要求披露的信息，按规定予以公告。</w:t>
      </w:r>
    </w:p>
    <w:p w14:paraId="123A3CAE" w14:textId="22AFABC2" w:rsidR="005A4DB3" w:rsidRDefault="00F11E53">
      <w:pPr>
        <w:pStyle w:val="1"/>
        <w:spacing w:beforeLines="50" w:before="156" w:afterLines="50" w:after="156" w:line="360" w:lineRule="auto"/>
      </w:pPr>
      <w:bookmarkStart w:id="109" w:name="_Toc495415966"/>
      <w:bookmarkStart w:id="110" w:name="_Toc414213738"/>
      <w:bookmarkStart w:id="111" w:name="_Toc212813245"/>
      <w:r>
        <w:t>第十</w:t>
      </w:r>
      <w:r>
        <w:rPr>
          <w:rFonts w:hint="eastAsia"/>
        </w:rPr>
        <w:t>二</w:t>
      </w:r>
      <w:r>
        <w:t>章</w:t>
      </w:r>
      <w:r>
        <w:t xml:space="preserve"> </w:t>
      </w:r>
      <w:r>
        <w:t>附则</w:t>
      </w:r>
      <w:bookmarkEnd w:id="109"/>
      <w:bookmarkEnd w:id="110"/>
      <w:bookmarkEnd w:id="111"/>
    </w:p>
    <w:p w14:paraId="5F36A591" w14:textId="77777777" w:rsidR="005A4DB3" w:rsidRDefault="00F11E53">
      <w:pPr>
        <w:numPr>
          <w:ilvl w:val="0"/>
          <w:numId w:val="1"/>
        </w:numPr>
        <w:adjustRightInd w:val="0"/>
        <w:snapToGrid w:val="0"/>
        <w:spacing w:beforeLines="50" w:before="156" w:afterLines="50" w:after="156" w:line="360" w:lineRule="auto"/>
        <w:ind w:left="0" w:firstLineChars="400" w:firstLine="964"/>
        <w:rPr>
          <w:rFonts w:ascii="宋体" w:hAnsi="宋体" w:cs="Arial" w:hint="eastAsia"/>
          <w:b/>
          <w:snapToGrid w:val="0"/>
          <w:kern w:val="0"/>
          <w:sz w:val="24"/>
        </w:rPr>
      </w:pPr>
      <w:r>
        <w:rPr>
          <w:rFonts w:ascii="宋体" w:hAnsi="宋体" w:cs="Arial" w:hint="eastAsia"/>
          <w:b/>
          <w:snapToGrid w:val="0"/>
          <w:kern w:val="0"/>
          <w:sz w:val="24"/>
        </w:rPr>
        <w:t xml:space="preserve"> </w:t>
      </w:r>
      <w:r>
        <w:rPr>
          <w:rFonts w:ascii="宋体" w:hAnsi="宋体" w:cs="Arial"/>
          <w:b/>
          <w:snapToGrid w:val="0"/>
          <w:kern w:val="0"/>
          <w:sz w:val="24"/>
        </w:rPr>
        <w:t>释义</w:t>
      </w:r>
    </w:p>
    <w:p w14:paraId="4E7A9B05" w14:textId="74FAE4A5"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（一）</w:t>
      </w:r>
      <w:r>
        <w:rPr>
          <w:rFonts w:ascii="宋体" w:hAnsi="宋体" w:cs="Arial" w:hint="eastAsia"/>
          <w:snapToGrid w:val="0"/>
          <w:kern w:val="0"/>
          <w:sz w:val="24"/>
        </w:rPr>
        <w:t xml:space="preserve"> </w:t>
      </w:r>
      <w:r>
        <w:rPr>
          <w:rFonts w:ascii="宋体" w:hAnsi="宋体" w:cs="Arial"/>
          <w:snapToGrid w:val="0"/>
          <w:kern w:val="0"/>
          <w:sz w:val="24"/>
        </w:rPr>
        <w:t>控股股东，是</w:t>
      </w:r>
      <w:r>
        <w:rPr>
          <w:rFonts w:ascii="宋体" w:hAnsi="宋体" w:cs="Arial" w:hint="eastAsia"/>
          <w:snapToGrid w:val="0"/>
          <w:kern w:val="0"/>
          <w:sz w:val="24"/>
        </w:rPr>
        <w:t>指其持有的股份占股份有限公司股本总额超过百分之五十的股东；或者持有股份的比例虽然未超过百分之五十，但其持有的股份所享有的表决权已足以对股东会的决议产生重大影响的股东</w:t>
      </w:r>
      <w:r>
        <w:rPr>
          <w:rFonts w:ascii="宋体" w:hAnsi="宋体" w:cs="Arial"/>
          <w:snapToGrid w:val="0"/>
          <w:kern w:val="0"/>
          <w:sz w:val="24"/>
        </w:rPr>
        <w:t>。</w:t>
      </w:r>
    </w:p>
    <w:p w14:paraId="5099E582" w14:textId="5822781D"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（二）实际控制人，</w:t>
      </w:r>
      <w:r>
        <w:rPr>
          <w:rFonts w:ascii="宋体" w:hAnsi="宋体" w:cs="Arial" w:hint="eastAsia"/>
          <w:snapToGrid w:val="0"/>
          <w:kern w:val="0"/>
          <w:sz w:val="24"/>
        </w:rPr>
        <w:t>是指通过投资关系、协议或者其他安排，能够实际支配公司行为的自然人、法人或者其他组织。</w:t>
      </w:r>
    </w:p>
    <w:p w14:paraId="3B068C23" w14:textId="3D66D936"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snapToGrid w:val="0"/>
          <w:kern w:val="0"/>
          <w:sz w:val="24"/>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p>
    <w:p w14:paraId="053AE160" w14:textId="77777777" w:rsidR="005A4DB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（四）本章程所称的总经理和《公司法》中的经理具有相同的含义；副总经理和《公司法》中的副经理具有相同的含义；财务总监和《公司法》中的财务负责人具有相同含义。</w:t>
      </w:r>
    </w:p>
    <w:p w14:paraId="3EE4DE5E"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董事会可依照章程的规定，制订章程细则。章程细则不得与章程的规定相抵触。</w:t>
      </w:r>
    </w:p>
    <w:p w14:paraId="6D33825B" w14:textId="1708389A"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snapToGrid w:val="0"/>
          <w:kern w:val="0"/>
          <w:sz w:val="24"/>
        </w:rPr>
        <w:t xml:space="preserve"> 本章程以中文书写，其他任何语种或不同版本的章程与本章程有歧义时，以在</w:t>
      </w:r>
      <w:r>
        <w:rPr>
          <w:rFonts w:ascii="宋体" w:hAnsi="宋体" w:cs="Arial" w:hint="eastAsia"/>
          <w:snapToGrid w:val="0"/>
          <w:kern w:val="0"/>
          <w:sz w:val="24"/>
        </w:rPr>
        <w:t>安徽省市场监督管理局</w:t>
      </w:r>
      <w:r>
        <w:rPr>
          <w:rFonts w:ascii="宋体" w:hAnsi="宋体" w:cs="Arial"/>
          <w:snapToGrid w:val="0"/>
          <w:kern w:val="0"/>
          <w:sz w:val="24"/>
        </w:rPr>
        <w:t>最近一次核准登记后的中文版章程为准。</w:t>
      </w:r>
    </w:p>
    <w:p w14:paraId="6C1CBE77" w14:textId="1ECAC3DE"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本章程所称</w:t>
      </w:r>
      <w:r>
        <w:rPr>
          <w:rFonts w:ascii="宋体" w:hAnsi="宋体" w:cs="Arial" w:hint="eastAsia"/>
          <w:snapToGrid w:val="0"/>
          <w:kern w:val="0"/>
          <w:sz w:val="24"/>
        </w:rPr>
        <w:t>“</w:t>
      </w:r>
      <w:r>
        <w:rPr>
          <w:rFonts w:ascii="宋体" w:hAnsi="宋体" w:cs="Arial"/>
          <w:snapToGrid w:val="0"/>
          <w:kern w:val="0"/>
          <w:sz w:val="24"/>
        </w:rPr>
        <w:t>以上</w:t>
      </w:r>
      <w:r>
        <w:rPr>
          <w:rFonts w:ascii="宋体" w:hAnsi="宋体" w:cs="Arial" w:hint="eastAsia"/>
          <w:snapToGrid w:val="0"/>
          <w:kern w:val="0"/>
          <w:sz w:val="24"/>
        </w:rPr>
        <w:t>”</w:t>
      </w:r>
      <w:r>
        <w:rPr>
          <w:rFonts w:ascii="宋体" w:hAnsi="宋体" w:cs="Arial"/>
          <w:snapToGrid w:val="0"/>
          <w:kern w:val="0"/>
          <w:sz w:val="24"/>
        </w:rPr>
        <w:t>、</w:t>
      </w:r>
      <w:r>
        <w:rPr>
          <w:rFonts w:ascii="宋体" w:hAnsi="宋体" w:cs="Arial" w:hint="eastAsia"/>
          <w:snapToGrid w:val="0"/>
          <w:kern w:val="0"/>
          <w:sz w:val="24"/>
        </w:rPr>
        <w:t>“</w:t>
      </w:r>
      <w:r>
        <w:rPr>
          <w:rFonts w:ascii="宋体" w:hAnsi="宋体" w:cs="Arial"/>
          <w:snapToGrid w:val="0"/>
          <w:kern w:val="0"/>
          <w:sz w:val="24"/>
        </w:rPr>
        <w:t>以内</w:t>
      </w:r>
      <w:r>
        <w:rPr>
          <w:rFonts w:ascii="宋体" w:hAnsi="宋体" w:cs="Arial" w:hint="eastAsia"/>
          <w:snapToGrid w:val="0"/>
          <w:kern w:val="0"/>
          <w:sz w:val="24"/>
        </w:rPr>
        <w:t>”都</w:t>
      </w:r>
      <w:r>
        <w:rPr>
          <w:rFonts w:ascii="宋体" w:hAnsi="宋体" w:cs="Arial"/>
          <w:snapToGrid w:val="0"/>
          <w:kern w:val="0"/>
          <w:sz w:val="24"/>
        </w:rPr>
        <w:t>含本数；</w:t>
      </w:r>
      <w:r>
        <w:rPr>
          <w:rFonts w:ascii="宋体" w:hAnsi="宋体" w:cs="Arial" w:hint="eastAsia"/>
          <w:snapToGrid w:val="0"/>
          <w:kern w:val="0"/>
          <w:sz w:val="24"/>
        </w:rPr>
        <w:t>“过”、“以外”、“低于”、“多于”不含本数</w:t>
      </w:r>
      <w:r>
        <w:rPr>
          <w:rFonts w:ascii="宋体" w:hAnsi="宋体" w:cs="Arial"/>
          <w:snapToGrid w:val="0"/>
          <w:kern w:val="0"/>
          <w:sz w:val="24"/>
        </w:rPr>
        <w:t>。</w:t>
      </w:r>
    </w:p>
    <w:p w14:paraId="25C3BA2B" w14:textId="63C8D4E4"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w:t>
      </w:r>
      <w:r>
        <w:rPr>
          <w:rFonts w:ascii="宋体" w:hAnsi="宋体" w:cs="Arial"/>
          <w:snapToGrid w:val="0"/>
          <w:kern w:val="0"/>
          <w:sz w:val="24"/>
        </w:rPr>
        <w:t>本章程</w:t>
      </w:r>
      <w:r>
        <w:rPr>
          <w:rFonts w:ascii="宋体" w:hAnsi="宋体" w:cs="Arial" w:hint="eastAsia"/>
          <w:snapToGrid w:val="0"/>
          <w:kern w:val="0"/>
          <w:sz w:val="24"/>
        </w:rPr>
        <w:t>由</w:t>
      </w:r>
      <w:r>
        <w:rPr>
          <w:rFonts w:ascii="宋体" w:hAnsi="宋体" w:cs="Arial"/>
          <w:snapToGrid w:val="0"/>
          <w:kern w:val="0"/>
          <w:sz w:val="24"/>
        </w:rPr>
        <w:t>股东会</w:t>
      </w:r>
      <w:r>
        <w:rPr>
          <w:rFonts w:ascii="宋体" w:hAnsi="宋体" w:cs="Arial" w:hint="eastAsia"/>
          <w:snapToGrid w:val="0"/>
          <w:kern w:val="0"/>
          <w:sz w:val="24"/>
        </w:rPr>
        <w:t>修订</w:t>
      </w:r>
      <w:r>
        <w:rPr>
          <w:rFonts w:ascii="宋体" w:hAnsi="宋体" w:cs="Arial"/>
          <w:snapToGrid w:val="0"/>
          <w:kern w:val="0"/>
          <w:sz w:val="24"/>
        </w:rPr>
        <w:t>，由公司董事会负责解释。</w:t>
      </w:r>
    </w:p>
    <w:p w14:paraId="60C9BC7D" w14:textId="603E66D6"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本章程附件包括股东会议事规则和董事会议事规则。</w:t>
      </w:r>
    </w:p>
    <w:p w14:paraId="36510271" w14:textId="77777777" w:rsidR="005A4DB3" w:rsidRDefault="00F11E53">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t xml:space="preserve"> 国家</w:t>
      </w:r>
      <w:r>
        <w:rPr>
          <w:rFonts w:ascii="宋体" w:hAnsi="宋体" w:cs="Arial"/>
          <w:snapToGrid w:val="0"/>
          <w:kern w:val="0"/>
          <w:sz w:val="24"/>
        </w:rPr>
        <w:t>对优先股</w:t>
      </w:r>
      <w:r>
        <w:rPr>
          <w:rFonts w:ascii="宋体" w:hAnsi="宋体" w:cs="Arial" w:hint="eastAsia"/>
          <w:snapToGrid w:val="0"/>
          <w:kern w:val="0"/>
          <w:sz w:val="24"/>
        </w:rPr>
        <w:t>另有</w:t>
      </w:r>
      <w:r>
        <w:rPr>
          <w:rFonts w:ascii="宋体" w:hAnsi="宋体" w:cs="Arial"/>
          <w:snapToGrid w:val="0"/>
          <w:kern w:val="0"/>
          <w:sz w:val="24"/>
        </w:rPr>
        <w:t>规定的</w:t>
      </w:r>
      <w:r>
        <w:rPr>
          <w:rFonts w:ascii="宋体" w:hAnsi="宋体" w:cs="Arial" w:hint="eastAsia"/>
          <w:snapToGrid w:val="0"/>
          <w:kern w:val="0"/>
          <w:sz w:val="24"/>
        </w:rPr>
        <w:t>，</w:t>
      </w:r>
      <w:r>
        <w:rPr>
          <w:rFonts w:ascii="宋体" w:hAnsi="宋体" w:cs="Arial"/>
          <w:snapToGrid w:val="0"/>
          <w:kern w:val="0"/>
          <w:sz w:val="24"/>
        </w:rPr>
        <w:t>从其规定。</w:t>
      </w:r>
    </w:p>
    <w:p w14:paraId="5CD78CA1" w14:textId="64E1556C" w:rsidR="005A4DB3" w:rsidRDefault="00F11E53" w:rsidP="00292011">
      <w:pPr>
        <w:numPr>
          <w:ilvl w:val="0"/>
          <w:numId w:val="1"/>
        </w:numPr>
        <w:adjustRightInd w:val="0"/>
        <w:snapToGrid w:val="0"/>
        <w:spacing w:beforeLines="50" w:before="156" w:afterLines="50" w:after="156" w:line="360" w:lineRule="auto"/>
        <w:ind w:left="0" w:firstLineChars="400" w:firstLine="960"/>
        <w:rPr>
          <w:rFonts w:ascii="宋体" w:hAnsi="宋体" w:cs="Arial" w:hint="eastAsia"/>
          <w:snapToGrid w:val="0"/>
          <w:kern w:val="0"/>
          <w:sz w:val="24"/>
        </w:rPr>
      </w:pPr>
      <w:r>
        <w:rPr>
          <w:rFonts w:ascii="宋体" w:hAnsi="宋体" w:cs="Arial" w:hint="eastAsia"/>
          <w:snapToGrid w:val="0"/>
          <w:kern w:val="0"/>
          <w:sz w:val="24"/>
        </w:rPr>
        <w:lastRenderedPageBreak/>
        <w:t xml:space="preserve">  </w:t>
      </w:r>
      <w:r>
        <w:rPr>
          <w:rFonts w:ascii="宋体" w:hAnsi="宋体" w:cs="Arial"/>
          <w:snapToGrid w:val="0"/>
          <w:kern w:val="0"/>
          <w:sz w:val="24"/>
        </w:rPr>
        <w:t>本章程</w:t>
      </w:r>
      <w:r>
        <w:rPr>
          <w:rFonts w:ascii="宋体" w:hAnsi="宋体" w:cs="Arial" w:hint="eastAsia"/>
          <w:snapToGrid w:val="0"/>
          <w:kern w:val="0"/>
          <w:sz w:val="24"/>
        </w:rPr>
        <w:t>自</w:t>
      </w:r>
      <w:r>
        <w:rPr>
          <w:rFonts w:ascii="宋体" w:hAnsi="宋体" w:cs="Arial"/>
          <w:snapToGrid w:val="0"/>
          <w:kern w:val="0"/>
          <w:sz w:val="24"/>
        </w:rPr>
        <w:t>公司</w:t>
      </w:r>
      <w:r>
        <w:rPr>
          <w:rFonts w:ascii="宋体" w:hAnsi="宋体" w:cs="Arial" w:hint="eastAsia"/>
          <w:snapToGrid w:val="0"/>
          <w:kern w:val="0"/>
          <w:sz w:val="24"/>
        </w:rPr>
        <w:t>股东会</w:t>
      </w:r>
      <w:r>
        <w:rPr>
          <w:rFonts w:ascii="宋体" w:hAnsi="宋体" w:cs="Arial"/>
          <w:snapToGrid w:val="0"/>
          <w:kern w:val="0"/>
          <w:sz w:val="24"/>
        </w:rPr>
        <w:t>审核通过之日起实施，原《公司章程》同时失效。</w:t>
      </w:r>
    </w:p>
    <w:p w14:paraId="543AE5B0" w14:textId="77777777" w:rsidR="00F11E53" w:rsidRDefault="00F11E53">
      <w:pPr>
        <w:adjustRightInd w:val="0"/>
        <w:snapToGrid w:val="0"/>
        <w:spacing w:beforeLines="50" w:before="156" w:afterLines="50" w:after="156" w:line="360" w:lineRule="auto"/>
        <w:ind w:firstLineChars="200" w:firstLine="480"/>
        <w:rPr>
          <w:rFonts w:ascii="宋体" w:hAnsi="宋体" w:cs="Arial" w:hint="eastAsia"/>
          <w:snapToGrid w:val="0"/>
          <w:kern w:val="0"/>
          <w:sz w:val="24"/>
        </w:rPr>
      </w:pPr>
      <w:r>
        <w:rPr>
          <w:rFonts w:ascii="宋体" w:hAnsi="宋体" w:cs="Arial" w:hint="eastAsia"/>
          <w:snapToGrid w:val="0"/>
          <w:kern w:val="0"/>
          <w:sz w:val="24"/>
        </w:rPr>
        <w:t>（以下无正文）</w:t>
      </w:r>
    </w:p>
    <w:sectPr w:rsidR="00F11E53">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D732" w14:textId="77777777" w:rsidR="000A2010" w:rsidRDefault="000A2010">
      <w:r>
        <w:separator/>
      </w:r>
    </w:p>
  </w:endnote>
  <w:endnote w:type="continuationSeparator" w:id="0">
    <w:p w14:paraId="0D164F24" w14:textId="77777777" w:rsidR="000A2010" w:rsidRDefault="000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2A87" w:usb1="080E0000" w:usb2="00000010" w:usb3="00000000" w:csb0="000401FF" w:csb1="00000000"/>
  </w:font>
  <w:font w:name="方正仿宋简体">
    <w:altName w:val="宋体"/>
    <w:charset w:val="86"/>
    <w:family w:val="auto"/>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9023" w14:textId="2C66C57B" w:rsidR="005A4DB3" w:rsidRDefault="00F11E53">
    <w:pPr>
      <w:pStyle w:val="a9"/>
      <w:jc w:val="center"/>
      <w:rPr>
        <w:sz w:val="21"/>
        <w:szCs w:val="21"/>
      </w:rPr>
    </w:pPr>
    <w:r>
      <w:rPr>
        <w:sz w:val="21"/>
        <w:szCs w:val="21"/>
        <w:lang w:val="zh-CN"/>
      </w:rPr>
      <w:t xml:space="preserve"> </w:t>
    </w:r>
    <w:r>
      <w:rPr>
        <w:b/>
        <w:sz w:val="21"/>
        <w:szCs w:val="21"/>
      </w:rPr>
      <w:fldChar w:fldCharType="begin"/>
    </w:r>
    <w:r>
      <w:rPr>
        <w:b/>
        <w:sz w:val="21"/>
        <w:szCs w:val="21"/>
      </w:rPr>
      <w:instrText>PAGE  \* Arabic  \* MERGEFORMAT</w:instrText>
    </w:r>
    <w:r>
      <w:rPr>
        <w:b/>
        <w:sz w:val="21"/>
        <w:szCs w:val="21"/>
      </w:rPr>
      <w:fldChar w:fldCharType="separate"/>
    </w:r>
    <w:r w:rsidR="003D1B17" w:rsidRPr="003D1B17">
      <w:rPr>
        <w:b/>
        <w:noProof/>
        <w:sz w:val="21"/>
        <w:szCs w:val="21"/>
        <w:lang w:val="zh-CN"/>
      </w:rPr>
      <w:t>52</w:t>
    </w:r>
    <w:r>
      <w:rPr>
        <w:b/>
        <w:sz w:val="21"/>
        <w:szCs w:val="21"/>
      </w:rPr>
      <w:fldChar w:fldCharType="end"/>
    </w:r>
    <w:r>
      <w:rPr>
        <w:sz w:val="21"/>
        <w:szCs w:val="21"/>
        <w:lang w:val="zh-CN"/>
      </w:rPr>
      <w:t xml:space="preserve"> </w:t>
    </w:r>
    <w:r>
      <w:rPr>
        <w:sz w:val="21"/>
        <w:szCs w:val="21"/>
        <w:lang w:val="zh-CN"/>
      </w:rPr>
      <w:t xml:space="preserve">/ </w:t>
    </w:r>
    <w:r w:rsidR="00292011">
      <w:rPr>
        <w:rFonts w:hint="eastAsia"/>
        <w:b/>
        <w:sz w:val="21"/>
        <w:szCs w:val="21"/>
      </w:rPr>
      <w:t>51</w:t>
    </w:r>
  </w:p>
  <w:p w14:paraId="504274B1" w14:textId="77777777" w:rsidR="005A4DB3" w:rsidRDefault="005A4DB3">
    <w:pPr>
      <w:pStyle w:val="a9"/>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02B9" w14:textId="77777777" w:rsidR="000A2010" w:rsidRDefault="000A2010">
      <w:r>
        <w:separator/>
      </w:r>
    </w:p>
  </w:footnote>
  <w:footnote w:type="continuationSeparator" w:id="0">
    <w:p w14:paraId="00ED4639" w14:textId="77777777" w:rsidR="000A2010" w:rsidRDefault="000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7A13" w14:textId="77777777" w:rsidR="005A4DB3" w:rsidRDefault="005A4DB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chineseCountingThousand"/>
      <w:suff w:val="nothing"/>
      <w:lvlText w:val="第%1条"/>
      <w:lvlJc w:val="center"/>
      <w:pPr>
        <w:ind w:left="-284" w:firstLine="284"/>
      </w:pPr>
      <w:rPr>
        <w:rFonts w:hint="eastAsia"/>
        <w:b/>
        <w:sz w:val="24"/>
        <w:szCs w:val="24"/>
        <w:lang w:val="en-US"/>
      </w:rPr>
    </w:lvl>
    <w:lvl w:ilvl="1">
      <w:start w:val="1"/>
      <w:numFmt w:val="none"/>
      <w:suff w:val="nothing"/>
      <w:lvlText w:val=""/>
      <w:lvlJc w:val="left"/>
      <w:pPr>
        <w:ind w:left="3261" w:firstLine="0"/>
      </w:pPr>
      <w:rPr>
        <w:rFonts w:hint="eastAsia"/>
      </w:rPr>
    </w:lvl>
    <w:lvl w:ilvl="2">
      <w:start w:val="1"/>
      <w:numFmt w:val="none"/>
      <w:suff w:val="nothing"/>
      <w:lvlText w:val=""/>
      <w:lvlJc w:val="left"/>
      <w:pPr>
        <w:ind w:left="3261" w:firstLine="0"/>
      </w:pPr>
      <w:rPr>
        <w:rFonts w:hint="eastAsia"/>
      </w:rPr>
    </w:lvl>
    <w:lvl w:ilvl="3">
      <w:start w:val="1"/>
      <w:numFmt w:val="none"/>
      <w:suff w:val="nothing"/>
      <w:lvlText w:val=""/>
      <w:lvlJc w:val="left"/>
      <w:pPr>
        <w:ind w:left="3261" w:firstLine="0"/>
      </w:pPr>
      <w:rPr>
        <w:rFonts w:hint="eastAsia"/>
      </w:rPr>
    </w:lvl>
    <w:lvl w:ilvl="4">
      <w:start w:val="1"/>
      <w:numFmt w:val="none"/>
      <w:suff w:val="nothing"/>
      <w:lvlText w:val=""/>
      <w:lvlJc w:val="left"/>
      <w:pPr>
        <w:ind w:left="3261" w:firstLine="0"/>
      </w:pPr>
      <w:rPr>
        <w:rFonts w:hint="eastAsia"/>
      </w:rPr>
    </w:lvl>
    <w:lvl w:ilvl="5">
      <w:start w:val="1"/>
      <w:numFmt w:val="none"/>
      <w:suff w:val="nothing"/>
      <w:lvlText w:val=""/>
      <w:lvlJc w:val="left"/>
      <w:pPr>
        <w:ind w:left="3261" w:firstLine="0"/>
      </w:pPr>
      <w:rPr>
        <w:rFonts w:hint="eastAsia"/>
      </w:rPr>
    </w:lvl>
    <w:lvl w:ilvl="6">
      <w:start w:val="1"/>
      <w:numFmt w:val="none"/>
      <w:suff w:val="nothing"/>
      <w:lvlText w:val=""/>
      <w:lvlJc w:val="left"/>
      <w:pPr>
        <w:ind w:left="3261" w:firstLine="0"/>
      </w:pPr>
      <w:rPr>
        <w:rFonts w:hint="eastAsia"/>
      </w:rPr>
    </w:lvl>
    <w:lvl w:ilvl="7">
      <w:start w:val="1"/>
      <w:numFmt w:val="none"/>
      <w:suff w:val="nothing"/>
      <w:lvlText w:val=""/>
      <w:lvlJc w:val="left"/>
      <w:pPr>
        <w:ind w:left="3261" w:firstLine="0"/>
      </w:pPr>
      <w:rPr>
        <w:rFonts w:hint="eastAsia"/>
      </w:rPr>
    </w:lvl>
    <w:lvl w:ilvl="8">
      <w:start w:val="1"/>
      <w:numFmt w:val="none"/>
      <w:suff w:val="nothing"/>
      <w:lvlText w:val=""/>
      <w:lvlJc w:val="left"/>
      <w:pPr>
        <w:ind w:left="3261" w:firstLine="0"/>
      </w:pPr>
      <w:rPr>
        <w:rFonts w:hint="eastAsia"/>
      </w:rPr>
    </w:lvl>
  </w:abstractNum>
  <w:abstractNum w:abstractNumId="1" w15:restartNumberingAfterBreak="0">
    <w:nsid w:val="565B235A"/>
    <w:multiLevelType w:val="multilevel"/>
    <w:tmpl w:val="565B235A"/>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67FF703C"/>
    <w:multiLevelType w:val="multilevel"/>
    <w:tmpl w:val="67FF703C"/>
    <w:lvl w:ilvl="0">
      <w:start w:val="1"/>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3" w15:restartNumberingAfterBreak="0">
    <w:nsid w:val="78191ED8"/>
    <w:multiLevelType w:val="multilevel"/>
    <w:tmpl w:val="78191ED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D6F70A3"/>
    <w:multiLevelType w:val="multilevel"/>
    <w:tmpl w:val="7D6F70A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92016133">
    <w:abstractNumId w:val="0"/>
  </w:num>
  <w:num w:numId="2" w16cid:durableId="1402216973">
    <w:abstractNumId w:val="4"/>
  </w:num>
  <w:num w:numId="3" w16cid:durableId="1155294019">
    <w:abstractNumId w:val="3"/>
  </w:num>
  <w:num w:numId="4" w16cid:durableId="901260507">
    <w:abstractNumId w:val="1"/>
  </w:num>
  <w:num w:numId="5" w16cid:durableId="476071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76"/>
    <w:rsid w:val="000011F3"/>
    <w:rsid w:val="00001DC1"/>
    <w:rsid w:val="000026F9"/>
    <w:rsid w:val="00023AB4"/>
    <w:rsid w:val="000271E2"/>
    <w:rsid w:val="000275C9"/>
    <w:rsid w:val="000344DC"/>
    <w:rsid w:val="000373F9"/>
    <w:rsid w:val="000437F4"/>
    <w:rsid w:val="00045943"/>
    <w:rsid w:val="00045BB6"/>
    <w:rsid w:val="000519BC"/>
    <w:rsid w:val="000640BE"/>
    <w:rsid w:val="000710C6"/>
    <w:rsid w:val="000739D7"/>
    <w:rsid w:val="000A1817"/>
    <w:rsid w:val="000A2010"/>
    <w:rsid w:val="000A54A9"/>
    <w:rsid w:val="000A7F2D"/>
    <w:rsid w:val="000B09FC"/>
    <w:rsid w:val="000B338A"/>
    <w:rsid w:val="000B7601"/>
    <w:rsid w:val="000C4EF1"/>
    <w:rsid w:val="000C4EF5"/>
    <w:rsid w:val="000D2EFE"/>
    <w:rsid w:val="000E1196"/>
    <w:rsid w:val="000E1846"/>
    <w:rsid w:val="000F07BB"/>
    <w:rsid w:val="000F0A94"/>
    <w:rsid w:val="000F23C5"/>
    <w:rsid w:val="000F2BE3"/>
    <w:rsid w:val="000F2E24"/>
    <w:rsid w:val="000F347E"/>
    <w:rsid w:val="000F504F"/>
    <w:rsid w:val="000F643E"/>
    <w:rsid w:val="00101147"/>
    <w:rsid w:val="00107824"/>
    <w:rsid w:val="0011102B"/>
    <w:rsid w:val="00111404"/>
    <w:rsid w:val="00117620"/>
    <w:rsid w:val="0012056D"/>
    <w:rsid w:val="00121C1B"/>
    <w:rsid w:val="00122BC4"/>
    <w:rsid w:val="00124514"/>
    <w:rsid w:val="0013138A"/>
    <w:rsid w:val="00152D35"/>
    <w:rsid w:val="001602BC"/>
    <w:rsid w:val="00167D9C"/>
    <w:rsid w:val="0017482B"/>
    <w:rsid w:val="00180247"/>
    <w:rsid w:val="00185FFB"/>
    <w:rsid w:val="00196A52"/>
    <w:rsid w:val="001A092E"/>
    <w:rsid w:val="001A6327"/>
    <w:rsid w:val="001C0B61"/>
    <w:rsid w:val="001C49AA"/>
    <w:rsid w:val="001D2997"/>
    <w:rsid w:val="001D36D3"/>
    <w:rsid w:val="001E2036"/>
    <w:rsid w:val="001E2EAC"/>
    <w:rsid w:val="001F4650"/>
    <w:rsid w:val="001F5444"/>
    <w:rsid w:val="001F625C"/>
    <w:rsid w:val="001F6644"/>
    <w:rsid w:val="0020303D"/>
    <w:rsid w:val="0020309D"/>
    <w:rsid w:val="00204482"/>
    <w:rsid w:val="002066AF"/>
    <w:rsid w:val="00211BD1"/>
    <w:rsid w:val="002120B0"/>
    <w:rsid w:val="0022146B"/>
    <w:rsid w:val="00224CEC"/>
    <w:rsid w:val="00227CAD"/>
    <w:rsid w:val="00230F81"/>
    <w:rsid w:val="00231822"/>
    <w:rsid w:val="00242C96"/>
    <w:rsid w:val="00244285"/>
    <w:rsid w:val="002534CA"/>
    <w:rsid w:val="00255B50"/>
    <w:rsid w:val="002709A3"/>
    <w:rsid w:val="002723C0"/>
    <w:rsid w:val="002758E6"/>
    <w:rsid w:val="00275BC7"/>
    <w:rsid w:val="00292011"/>
    <w:rsid w:val="002A0708"/>
    <w:rsid w:val="002A1473"/>
    <w:rsid w:val="002A361A"/>
    <w:rsid w:val="002A4DCE"/>
    <w:rsid w:val="002A7B4D"/>
    <w:rsid w:val="002A7F2A"/>
    <w:rsid w:val="002B1E0C"/>
    <w:rsid w:val="002B2858"/>
    <w:rsid w:val="002B32D7"/>
    <w:rsid w:val="002B5ED1"/>
    <w:rsid w:val="002B6557"/>
    <w:rsid w:val="002C30D4"/>
    <w:rsid w:val="002C461B"/>
    <w:rsid w:val="002D28DA"/>
    <w:rsid w:val="002D3E19"/>
    <w:rsid w:val="002E0223"/>
    <w:rsid w:val="002E0977"/>
    <w:rsid w:val="002E176C"/>
    <w:rsid w:val="002E20FF"/>
    <w:rsid w:val="002E680C"/>
    <w:rsid w:val="002E6A42"/>
    <w:rsid w:val="002F0582"/>
    <w:rsid w:val="002F22F9"/>
    <w:rsid w:val="0030017C"/>
    <w:rsid w:val="00302541"/>
    <w:rsid w:val="00317BD2"/>
    <w:rsid w:val="00322929"/>
    <w:rsid w:val="00325AF0"/>
    <w:rsid w:val="003267FD"/>
    <w:rsid w:val="00327BDC"/>
    <w:rsid w:val="0033133C"/>
    <w:rsid w:val="00331F0B"/>
    <w:rsid w:val="00332359"/>
    <w:rsid w:val="003414E4"/>
    <w:rsid w:val="00343509"/>
    <w:rsid w:val="003461C1"/>
    <w:rsid w:val="00347FA1"/>
    <w:rsid w:val="0035556C"/>
    <w:rsid w:val="00357966"/>
    <w:rsid w:val="00362D5C"/>
    <w:rsid w:val="00364AA5"/>
    <w:rsid w:val="003722E3"/>
    <w:rsid w:val="00380CD0"/>
    <w:rsid w:val="003874E8"/>
    <w:rsid w:val="00391128"/>
    <w:rsid w:val="00396459"/>
    <w:rsid w:val="003A0141"/>
    <w:rsid w:val="003B0B9E"/>
    <w:rsid w:val="003B31FA"/>
    <w:rsid w:val="003B3CDD"/>
    <w:rsid w:val="003B6BBF"/>
    <w:rsid w:val="003C176B"/>
    <w:rsid w:val="003C4250"/>
    <w:rsid w:val="003D1B17"/>
    <w:rsid w:val="003E2715"/>
    <w:rsid w:val="003F47D6"/>
    <w:rsid w:val="003F5886"/>
    <w:rsid w:val="00405E57"/>
    <w:rsid w:val="00410861"/>
    <w:rsid w:val="00413431"/>
    <w:rsid w:val="00414EBA"/>
    <w:rsid w:val="00415F31"/>
    <w:rsid w:val="00416335"/>
    <w:rsid w:val="004241E1"/>
    <w:rsid w:val="00441224"/>
    <w:rsid w:val="0044718C"/>
    <w:rsid w:val="00454757"/>
    <w:rsid w:val="00465250"/>
    <w:rsid w:val="0046552B"/>
    <w:rsid w:val="00465E04"/>
    <w:rsid w:val="0046616D"/>
    <w:rsid w:val="0046634D"/>
    <w:rsid w:val="004665E3"/>
    <w:rsid w:val="0048143E"/>
    <w:rsid w:val="00481F2A"/>
    <w:rsid w:val="004956B0"/>
    <w:rsid w:val="004A0AF8"/>
    <w:rsid w:val="004A1D76"/>
    <w:rsid w:val="004A2BB3"/>
    <w:rsid w:val="004A3F02"/>
    <w:rsid w:val="004B1452"/>
    <w:rsid w:val="004C6AD0"/>
    <w:rsid w:val="004D293C"/>
    <w:rsid w:val="004D7C8A"/>
    <w:rsid w:val="004E2EE4"/>
    <w:rsid w:val="004E5DBE"/>
    <w:rsid w:val="004F246B"/>
    <w:rsid w:val="004F2EE3"/>
    <w:rsid w:val="004F3C1F"/>
    <w:rsid w:val="004F740E"/>
    <w:rsid w:val="00502492"/>
    <w:rsid w:val="00502A92"/>
    <w:rsid w:val="00507965"/>
    <w:rsid w:val="00512D59"/>
    <w:rsid w:val="00514B1E"/>
    <w:rsid w:val="00516AED"/>
    <w:rsid w:val="00530F65"/>
    <w:rsid w:val="00537048"/>
    <w:rsid w:val="005419A2"/>
    <w:rsid w:val="00556735"/>
    <w:rsid w:val="0055673D"/>
    <w:rsid w:val="005629BB"/>
    <w:rsid w:val="00564D85"/>
    <w:rsid w:val="005746C3"/>
    <w:rsid w:val="005809CA"/>
    <w:rsid w:val="005833B9"/>
    <w:rsid w:val="005837D2"/>
    <w:rsid w:val="005841B4"/>
    <w:rsid w:val="0059669C"/>
    <w:rsid w:val="0059744C"/>
    <w:rsid w:val="005A4DB3"/>
    <w:rsid w:val="005B79FA"/>
    <w:rsid w:val="005C0A76"/>
    <w:rsid w:val="005C1A54"/>
    <w:rsid w:val="005C1D75"/>
    <w:rsid w:val="005C30EF"/>
    <w:rsid w:val="005C351D"/>
    <w:rsid w:val="005C4F79"/>
    <w:rsid w:val="005C743D"/>
    <w:rsid w:val="005D19A0"/>
    <w:rsid w:val="005D5FF1"/>
    <w:rsid w:val="005D7024"/>
    <w:rsid w:val="005E1D47"/>
    <w:rsid w:val="005E5A2C"/>
    <w:rsid w:val="005E7B4D"/>
    <w:rsid w:val="006002FA"/>
    <w:rsid w:val="006022DE"/>
    <w:rsid w:val="00617CBE"/>
    <w:rsid w:val="00623E3A"/>
    <w:rsid w:val="006276A0"/>
    <w:rsid w:val="00627B1E"/>
    <w:rsid w:val="00633341"/>
    <w:rsid w:val="00633B4A"/>
    <w:rsid w:val="006419F2"/>
    <w:rsid w:val="0065148C"/>
    <w:rsid w:val="006537D4"/>
    <w:rsid w:val="00656D87"/>
    <w:rsid w:val="00660A95"/>
    <w:rsid w:val="006621E1"/>
    <w:rsid w:val="006653DB"/>
    <w:rsid w:val="006701B9"/>
    <w:rsid w:val="00672BAC"/>
    <w:rsid w:val="00673B71"/>
    <w:rsid w:val="00676BAB"/>
    <w:rsid w:val="006838FE"/>
    <w:rsid w:val="006872C9"/>
    <w:rsid w:val="006937F6"/>
    <w:rsid w:val="00693BA7"/>
    <w:rsid w:val="00694464"/>
    <w:rsid w:val="006A387B"/>
    <w:rsid w:val="006A587A"/>
    <w:rsid w:val="006A6C9E"/>
    <w:rsid w:val="006A6F94"/>
    <w:rsid w:val="006B0C63"/>
    <w:rsid w:val="006B3B4C"/>
    <w:rsid w:val="006C1D3C"/>
    <w:rsid w:val="006C7628"/>
    <w:rsid w:val="006D3240"/>
    <w:rsid w:val="006D7476"/>
    <w:rsid w:val="006D7D20"/>
    <w:rsid w:val="006D7E04"/>
    <w:rsid w:val="006E0DF4"/>
    <w:rsid w:val="006E50F4"/>
    <w:rsid w:val="006F4EA9"/>
    <w:rsid w:val="006F53F4"/>
    <w:rsid w:val="006F5AA5"/>
    <w:rsid w:val="006F74E6"/>
    <w:rsid w:val="00701919"/>
    <w:rsid w:val="0070350C"/>
    <w:rsid w:val="007038F3"/>
    <w:rsid w:val="007043BF"/>
    <w:rsid w:val="00705720"/>
    <w:rsid w:val="007120CE"/>
    <w:rsid w:val="007123AB"/>
    <w:rsid w:val="007135E8"/>
    <w:rsid w:val="00725662"/>
    <w:rsid w:val="00730FAA"/>
    <w:rsid w:val="0073198C"/>
    <w:rsid w:val="00733767"/>
    <w:rsid w:val="00736D41"/>
    <w:rsid w:val="00745CA3"/>
    <w:rsid w:val="00753E32"/>
    <w:rsid w:val="0075680C"/>
    <w:rsid w:val="00756C61"/>
    <w:rsid w:val="00761EB5"/>
    <w:rsid w:val="00762D42"/>
    <w:rsid w:val="0076449D"/>
    <w:rsid w:val="007708AE"/>
    <w:rsid w:val="00772CFC"/>
    <w:rsid w:val="00773286"/>
    <w:rsid w:val="0077475F"/>
    <w:rsid w:val="00777D71"/>
    <w:rsid w:val="007836C2"/>
    <w:rsid w:val="00785EB4"/>
    <w:rsid w:val="00786067"/>
    <w:rsid w:val="00787E25"/>
    <w:rsid w:val="00791C88"/>
    <w:rsid w:val="00793C1B"/>
    <w:rsid w:val="00794EAA"/>
    <w:rsid w:val="00796029"/>
    <w:rsid w:val="00797D27"/>
    <w:rsid w:val="007A0C46"/>
    <w:rsid w:val="007A1C9B"/>
    <w:rsid w:val="007B4D4C"/>
    <w:rsid w:val="007B5E0D"/>
    <w:rsid w:val="007C60B6"/>
    <w:rsid w:val="007D6A9D"/>
    <w:rsid w:val="007D7792"/>
    <w:rsid w:val="007E2187"/>
    <w:rsid w:val="007E2B99"/>
    <w:rsid w:val="007E448D"/>
    <w:rsid w:val="007F286A"/>
    <w:rsid w:val="008112C0"/>
    <w:rsid w:val="00820985"/>
    <w:rsid w:val="00840EEA"/>
    <w:rsid w:val="008502F4"/>
    <w:rsid w:val="00850FC0"/>
    <w:rsid w:val="00854DDB"/>
    <w:rsid w:val="00856FA9"/>
    <w:rsid w:val="00860D69"/>
    <w:rsid w:val="00863EB2"/>
    <w:rsid w:val="008811C5"/>
    <w:rsid w:val="00881F13"/>
    <w:rsid w:val="008822F7"/>
    <w:rsid w:val="00882638"/>
    <w:rsid w:val="008910C7"/>
    <w:rsid w:val="00891B0C"/>
    <w:rsid w:val="008932C4"/>
    <w:rsid w:val="00893E9C"/>
    <w:rsid w:val="008A5027"/>
    <w:rsid w:val="008A5218"/>
    <w:rsid w:val="008A58D9"/>
    <w:rsid w:val="008A61B0"/>
    <w:rsid w:val="008B1D98"/>
    <w:rsid w:val="008C0A3B"/>
    <w:rsid w:val="008C35B3"/>
    <w:rsid w:val="008C6664"/>
    <w:rsid w:val="008C7E72"/>
    <w:rsid w:val="008E07BC"/>
    <w:rsid w:val="008E41B5"/>
    <w:rsid w:val="008E45D5"/>
    <w:rsid w:val="008F1E2C"/>
    <w:rsid w:val="008F3D87"/>
    <w:rsid w:val="008F641D"/>
    <w:rsid w:val="008F7667"/>
    <w:rsid w:val="00911BCE"/>
    <w:rsid w:val="00925114"/>
    <w:rsid w:val="00933A5C"/>
    <w:rsid w:val="00934830"/>
    <w:rsid w:val="00943FE3"/>
    <w:rsid w:val="00950105"/>
    <w:rsid w:val="00954486"/>
    <w:rsid w:val="00954B14"/>
    <w:rsid w:val="009615B6"/>
    <w:rsid w:val="0096168A"/>
    <w:rsid w:val="0096437D"/>
    <w:rsid w:val="00974695"/>
    <w:rsid w:val="00976990"/>
    <w:rsid w:val="00982C89"/>
    <w:rsid w:val="009845FF"/>
    <w:rsid w:val="00987975"/>
    <w:rsid w:val="00990D83"/>
    <w:rsid w:val="00992A73"/>
    <w:rsid w:val="00995C8E"/>
    <w:rsid w:val="009A26CD"/>
    <w:rsid w:val="009A2909"/>
    <w:rsid w:val="009B2BC1"/>
    <w:rsid w:val="009B3AA5"/>
    <w:rsid w:val="009C0277"/>
    <w:rsid w:val="009C4764"/>
    <w:rsid w:val="009D161D"/>
    <w:rsid w:val="009D65F5"/>
    <w:rsid w:val="009D76EC"/>
    <w:rsid w:val="009E23E6"/>
    <w:rsid w:val="009E50AC"/>
    <w:rsid w:val="009E5E81"/>
    <w:rsid w:val="009E77B9"/>
    <w:rsid w:val="009F2F54"/>
    <w:rsid w:val="009F5E66"/>
    <w:rsid w:val="009F73CF"/>
    <w:rsid w:val="00A03DF9"/>
    <w:rsid w:val="00A077C1"/>
    <w:rsid w:val="00A2445F"/>
    <w:rsid w:val="00A338B2"/>
    <w:rsid w:val="00A4069D"/>
    <w:rsid w:val="00A426E5"/>
    <w:rsid w:val="00A42B43"/>
    <w:rsid w:val="00A43D84"/>
    <w:rsid w:val="00A56FE5"/>
    <w:rsid w:val="00A5727A"/>
    <w:rsid w:val="00A57713"/>
    <w:rsid w:val="00A6334B"/>
    <w:rsid w:val="00A65D0C"/>
    <w:rsid w:val="00A65EB2"/>
    <w:rsid w:val="00A677DC"/>
    <w:rsid w:val="00A7507A"/>
    <w:rsid w:val="00A8117E"/>
    <w:rsid w:val="00A96F99"/>
    <w:rsid w:val="00AA3BBD"/>
    <w:rsid w:val="00AA6465"/>
    <w:rsid w:val="00AB0F62"/>
    <w:rsid w:val="00AC0269"/>
    <w:rsid w:val="00AC0510"/>
    <w:rsid w:val="00AC3694"/>
    <w:rsid w:val="00AD6512"/>
    <w:rsid w:val="00AE011C"/>
    <w:rsid w:val="00AE649A"/>
    <w:rsid w:val="00AE72CC"/>
    <w:rsid w:val="00AE7EE2"/>
    <w:rsid w:val="00AF07CF"/>
    <w:rsid w:val="00AF0A17"/>
    <w:rsid w:val="00AF449A"/>
    <w:rsid w:val="00AF58CC"/>
    <w:rsid w:val="00AF6B56"/>
    <w:rsid w:val="00B107AF"/>
    <w:rsid w:val="00B11D8E"/>
    <w:rsid w:val="00B1274F"/>
    <w:rsid w:val="00B151BF"/>
    <w:rsid w:val="00B160D7"/>
    <w:rsid w:val="00B35313"/>
    <w:rsid w:val="00B44382"/>
    <w:rsid w:val="00B46298"/>
    <w:rsid w:val="00B47363"/>
    <w:rsid w:val="00B61BBC"/>
    <w:rsid w:val="00B62025"/>
    <w:rsid w:val="00B638F3"/>
    <w:rsid w:val="00B63D09"/>
    <w:rsid w:val="00B71613"/>
    <w:rsid w:val="00B71806"/>
    <w:rsid w:val="00B72D53"/>
    <w:rsid w:val="00B8131C"/>
    <w:rsid w:val="00B92B62"/>
    <w:rsid w:val="00BA1951"/>
    <w:rsid w:val="00BA53B5"/>
    <w:rsid w:val="00BB4499"/>
    <w:rsid w:val="00BB4C47"/>
    <w:rsid w:val="00BC1781"/>
    <w:rsid w:val="00BC1D62"/>
    <w:rsid w:val="00BC5244"/>
    <w:rsid w:val="00BD1976"/>
    <w:rsid w:val="00BD308D"/>
    <w:rsid w:val="00BD33B0"/>
    <w:rsid w:val="00BD7555"/>
    <w:rsid w:val="00BE20A9"/>
    <w:rsid w:val="00BE3C5F"/>
    <w:rsid w:val="00BE6452"/>
    <w:rsid w:val="00BF6755"/>
    <w:rsid w:val="00BF6F95"/>
    <w:rsid w:val="00C112E9"/>
    <w:rsid w:val="00C12D6A"/>
    <w:rsid w:val="00C15CBB"/>
    <w:rsid w:val="00C24A3D"/>
    <w:rsid w:val="00C40000"/>
    <w:rsid w:val="00C436BB"/>
    <w:rsid w:val="00C5378D"/>
    <w:rsid w:val="00C538F6"/>
    <w:rsid w:val="00C633D0"/>
    <w:rsid w:val="00C709E8"/>
    <w:rsid w:val="00C74A22"/>
    <w:rsid w:val="00C8056C"/>
    <w:rsid w:val="00C84760"/>
    <w:rsid w:val="00C91C65"/>
    <w:rsid w:val="00C92F5A"/>
    <w:rsid w:val="00CA19A1"/>
    <w:rsid w:val="00CB0A6B"/>
    <w:rsid w:val="00CB72DD"/>
    <w:rsid w:val="00CD5744"/>
    <w:rsid w:val="00CE3F28"/>
    <w:rsid w:val="00CE4F6A"/>
    <w:rsid w:val="00CE5148"/>
    <w:rsid w:val="00CE706A"/>
    <w:rsid w:val="00CF1503"/>
    <w:rsid w:val="00CF2865"/>
    <w:rsid w:val="00D04540"/>
    <w:rsid w:val="00D05246"/>
    <w:rsid w:val="00D05FC6"/>
    <w:rsid w:val="00D12F52"/>
    <w:rsid w:val="00D22D94"/>
    <w:rsid w:val="00D24D7C"/>
    <w:rsid w:val="00D30918"/>
    <w:rsid w:val="00D3260A"/>
    <w:rsid w:val="00D362AB"/>
    <w:rsid w:val="00D41099"/>
    <w:rsid w:val="00D509C6"/>
    <w:rsid w:val="00D6291E"/>
    <w:rsid w:val="00D64D45"/>
    <w:rsid w:val="00D702C8"/>
    <w:rsid w:val="00D74608"/>
    <w:rsid w:val="00D8175D"/>
    <w:rsid w:val="00D82D9F"/>
    <w:rsid w:val="00D82DAA"/>
    <w:rsid w:val="00D84C59"/>
    <w:rsid w:val="00D86D69"/>
    <w:rsid w:val="00D8727F"/>
    <w:rsid w:val="00D920FA"/>
    <w:rsid w:val="00DB375B"/>
    <w:rsid w:val="00DB418D"/>
    <w:rsid w:val="00DB43A3"/>
    <w:rsid w:val="00DB7556"/>
    <w:rsid w:val="00DC14F3"/>
    <w:rsid w:val="00DC1D4A"/>
    <w:rsid w:val="00DC4BB7"/>
    <w:rsid w:val="00DC54C7"/>
    <w:rsid w:val="00DC778C"/>
    <w:rsid w:val="00DC78CD"/>
    <w:rsid w:val="00DD5E37"/>
    <w:rsid w:val="00DE0842"/>
    <w:rsid w:val="00DE25A1"/>
    <w:rsid w:val="00DE4429"/>
    <w:rsid w:val="00DE6512"/>
    <w:rsid w:val="00DF78A5"/>
    <w:rsid w:val="00E008D8"/>
    <w:rsid w:val="00E06674"/>
    <w:rsid w:val="00E30133"/>
    <w:rsid w:val="00E30596"/>
    <w:rsid w:val="00E42972"/>
    <w:rsid w:val="00E443C4"/>
    <w:rsid w:val="00E475E0"/>
    <w:rsid w:val="00E47DFD"/>
    <w:rsid w:val="00E613FD"/>
    <w:rsid w:val="00E62952"/>
    <w:rsid w:val="00E73859"/>
    <w:rsid w:val="00E83F4B"/>
    <w:rsid w:val="00E86229"/>
    <w:rsid w:val="00E95043"/>
    <w:rsid w:val="00EA2133"/>
    <w:rsid w:val="00EA53CC"/>
    <w:rsid w:val="00EB00E4"/>
    <w:rsid w:val="00EB0156"/>
    <w:rsid w:val="00EB0CB6"/>
    <w:rsid w:val="00EB404F"/>
    <w:rsid w:val="00EB704E"/>
    <w:rsid w:val="00EC28BC"/>
    <w:rsid w:val="00EC2AA4"/>
    <w:rsid w:val="00EC2C1D"/>
    <w:rsid w:val="00EC6816"/>
    <w:rsid w:val="00ED3598"/>
    <w:rsid w:val="00ED65BE"/>
    <w:rsid w:val="00EE0935"/>
    <w:rsid w:val="00EF0156"/>
    <w:rsid w:val="00F01BAF"/>
    <w:rsid w:val="00F0352F"/>
    <w:rsid w:val="00F045B9"/>
    <w:rsid w:val="00F06220"/>
    <w:rsid w:val="00F076A6"/>
    <w:rsid w:val="00F11E53"/>
    <w:rsid w:val="00F2033D"/>
    <w:rsid w:val="00F2295D"/>
    <w:rsid w:val="00F23E5C"/>
    <w:rsid w:val="00F24126"/>
    <w:rsid w:val="00F30EA7"/>
    <w:rsid w:val="00F31725"/>
    <w:rsid w:val="00F36B58"/>
    <w:rsid w:val="00F36B7F"/>
    <w:rsid w:val="00F37CB3"/>
    <w:rsid w:val="00F44ADA"/>
    <w:rsid w:val="00F450D4"/>
    <w:rsid w:val="00F45372"/>
    <w:rsid w:val="00F51C83"/>
    <w:rsid w:val="00F64830"/>
    <w:rsid w:val="00F67792"/>
    <w:rsid w:val="00F848C9"/>
    <w:rsid w:val="00F84A9C"/>
    <w:rsid w:val="00FA0273"/>
    <w:rsid w:val="00FA5844"/>
    <w:rsid w:val="00FB061C"/>
    <w:rsid w:val="00FB4E3B"/>
    <w:rsid w:val="00FB530E"/>
    <w:rsid w:val="00FC1B5E"/>
    <w:rsid w:val="00FC5DF2"/>
    <w:rsid w:val="00FC7A7B"/>
    <w:rsid w:val="00FD2448"/>
    <w:rsid w:val="00FD35D8"/>
    <w:rsid w:val="00FF1EF5"/>
    <w:rsid w:val="00FF246E"/>
    <w:rsid w:val="15D0297B"/>
    <w:rsid w:val="494B6CBB"/>
    <w:rsid w:val="53194965"/>
    <w:rsid w:val="7D4B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4BC8FF17"/>
  <w15:docId w15:val="{98756542-B329-45BE-AC15-4FC56D03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keepLines/>
      <w:spacing w:before="340" w:after="330" w:line="576" w:lineRule="auto"/>
      <w:jc w:val="center"/>
      <w:outlineLvl w:val="0"/>
    </w:pPr>
    <w:rPr>
      <w:b/>
      <w:kern w:val="44"/>
      <w:sz w:val="28"/>
    </w:rPr>
  </w:style>
  <w:style w:type="paragraph" w:styleId="2">
    <w:name w:val="heading 2"/>
    <w:basedOn w:val="a"/>
    <w:next w:val="a"/>
    <w:link w:val="20"/>
    <w:qFormat/>
    <w:pPr>
      <w:keepNext/>
      <w:keepLines/>
      <w:spacing w:before="260" w:after="260" w:line="416" w:lineRule="auto"/>
      <w:jc w:val="center"/>
      <w:outlineLvl w:val="1"/>
    </w:pPr>
    <w:rPr>
      <w:rFonts w:ascii="Arial" w:hAnsi="Arial"/>
      <w:b/>
      <w:bCs/>
      <w:sz w:val="24"/>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0"/>
    <w:qFormat/>
    <w:pPr>
      <w:keepNext/>
      <w:keepLines/>
      <w:spacing w:before="280" w:after="290" w:line="376" w:lineRule="auto"/>
      <w:outlineLvl w:val="4"/>
    </w:pPr>
    <w:rPr>
      <w:b/>
      <w:bCs/>
      <w:kern w:val="0"/>
      <w:sz w:val="28"/>
      <w:szCs w:val="28"/>
    </w:rPr>
  </w:style>
  <w:style w:type="paragraph" w:styleId="6">
    <w:name w:val="heading 6"/>
    <w:basedOn w:val="a"/>
    <w:next w:val="a"/>
    <w:link w:val="60"/>
    <w:qFormat/>
    <w:pPr>
      <w:keepNext/>
      <w:keepLines/>
      <w:spacing w:before="240" w:after="64" w:line="320" w:lineRule="auto"/>
      <w:outlineLvl w:val="5"/>
    </w:pPr>
    <w:rPr>
      <w:rFonts w:ascii="Arial" w:eastAsia="黑体" w:hAnsi="Arial"/>
      <w:b/>
      <w:bCs/>
      <w:kern w:val="0"/>
      <w:sz w:val="24"/>
      <w:szCs w:val="24"/>
    </w:rPr>
  </w:style>
  <w:style w:type="paragraph" w:styleId="7">
    <w:name w:val="heading 7"/>
    <w:basedOn w:val="a"/>
    <w:next w:val="a"/>
    <w:link w:val="70"/>
    <w:qFormat/>
    <w:pPr>
      <w:keepNext/>
      <w:keepLines/>
      <w:spacing w:before="240" w:after="64" w:line="320" w:lineRule="auto"/>
      <w:outlineLvl w:val="6"/>
    </w:pPr>
    <w:rPr>
      <w:b/>
      <w:bCs/>
      <w:kern w:val="0"/>
      <w:sz w:val="24"/>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kern w:val="0"/>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hAnsi="Times New Roman"/>
      <w:b/>
      <w:kern w:val="44"/>
      <w:sz w:val="28"/>
    </w:rPr>
  </w:style>
  <w:style w:type="character" w:customStyle="1" w:styleId="20">
    <w:name w:val="标题 2 字符"/>
    <w:link w:val="2"/>
    <w:rPr>
      <w:rFonts w:ascii="Arial" w:hAnsi="Arial"/>
      <w:b/>
      <w:bCs/>
      <w:kern w:val="2"/>
      <w:sz w:val="24"/>
      <w:szCs w:val="32"/>
    </w:rPr>
  </w:style>
  <w:style w:type="character" w:customStyle="1" w:styleId="30">
    <w:name w:val="标题 3 字符"/>
    <w:link w:val="3"/>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paragraph" w:styleId="a3">
    <w:name w:val="annotation text"/>
    <w:basedOn w:val="a"/>
    <w:link w:val="a4"/>
    <w:uiPriority w:val="99"/>
    <w:unhideWhenUsed/>
    <w:pPr>
      <w:jc w:val="left"/>
    </w:pPr>
    <w:rPr>
      <w:kern w:val="0"/>
      <w:sz w:val="20"/>
    </w:rPr>
  </w:style>
  <w:style w:type="character" w:customStyle="1" w:styleId="a4">
    <w:name w:val="批注文字 字符"/>
    <w:link w:val="a3"/>
    <w:uiPriority w:val="99"/>
    <w:semiHidden/>
    <w:rPr>
      <w:rFonts w:ascii="Times New Roman" w:eastAsia="宋体" w:hAnsi="Times New Roman" w:cs="Times New Roman"/>
      <w:kern w:val="0"/>
      <w:sz w:val="20"/>
      <w:szCs w:val="20"/>
    </w:rPr>
  </w:style>
  <w:style w:type="paragraph" w:styleId="31">
    <w:name w:val="Body Text 3"/>
    <w:basedOn w:val="a"/>
    <w:link w:val="32"/>
    <w:pPr>
      <w:adjustRightInd w:val="0"/>
      <w:snapToGrid w:val="0"/>
    </w:pPr>
    <w:rPr>
      <w:rFonts w:ascii="宋体" w:hAnsi="宋体"/>
      <w:kern w:val="0"/>
      <w:sz w:val="24"/>
      <w:szCs w:val="24"/>
    </w:rPr>
  </w:style>
  <w:style w:type="character" w:customStyle="1" w:styleId="32">
    <w:name w:val="正文文本 3 字符"/>
    <w:link w:val="31"/>
    <w:rPr>
      <w:rFonts w:ascii="宋体" w:eastAsia="宋体" w:hAnsi="宋体" w:cs="Times New Roman"/>
      <w:kern w:val="0"/>
      <w:sz w:val="24"/>
      <w:szCs w:val="24"/>
    </w:rPr>
  </w:style>
  <w:style w:type="paragraph" w:styleId="TOC3">
    <w:name w:val="toc 3"/>
    <w:basedOn w:val="a"/>
    <w:next w:val="a"/>
    <w:uiPriority w:val="39"/>
    <w:unhideWhenUsed/>
    <w:pPr>
      <w:widowControl/>
      <w:spacing w:after="100" w:line="259" w:lineRule="auto"/>
      <w:ind w:left="440"/>
      <w:jc w:val="left"/>
    </w:pPr>
    <w:rPr>
      <w:rFonts w:ascii="等线" w:eastAsia="等线" w:hAnsi="等线"/>
      <w:kern w:val="0"/>
      <w:sz w:val="22"/>
      <w:szCs w:val="22"/>
    </w:rPr>
  </w:style>
  <w:style w:type="paragraph" w:styleId="a5">
    <w:name w:val="Date"/>
    <w:basedOn w:val="a"/>
    <w:next w:val="a"/>
    <w:link w:val="a6"/>
    <w:rPr>
      <w:rFonts w:ascii="楷体_GB2312" w:eastAsia="楷体_GB2312"/>
      <w:kern w:val="0"/>
      <w:sz w:val="32"/>
    </w:rPr>
  </w:style>
  <w:style w:type="character" w:customStyle="1" w:styleId="a6">
    <w:name w:val="日期 字符"/>
    <w:link w:val="a5"/>
    <w:rPr>
      <w:rFonts w:ascii="楷体_GB2312" w:eastAsia="楷体_GB2312" w:hAnsi="Times New Roman" w:cs="Times New Roman"/>
      <w:kern w:val="0"/>
      <w:sz w:val="32"/>
      <w:szCs w:val="20"/>
    </w:rPr>
  </w:style>
  <w:style w:type="paragraph" w:styleId="a7">
    <w:name w:val="Balloon Text"/>
    <w:basedOn w:val="a"/>
    <w:link w:val="a8"/>
    <w:uiPriority w:val="99"/>
    <w:unhideWhenUsed/>
    <w:rPr>
      <w:kern w:val="0"/>
      <w:sz w:val="18"/>
      <w:szCs w:val="18"/>
    </w:rPr>
  </w:style>
  <w:style w:type="character" w:customStyle="1" w:styleId="a8">
    <w:name w:val="批注框文本 字符"/>
    <w:link w:val="a7"/>
    <w:uiPriority w:val="99"/>
    <w:semiHidden/>
    <w:rPr>
      <w:rFonts w:ascii="Times New Roman" w:eastAsia="宋体" w:hAnsi="Times New Roman" w:cs="Times New Roman"/>
      <w:kern w:val="0"/>
      <w:sz w:val="18"/>
      <w:szCs w:val="18"/>
    </w:rPr>
  </w:style>
  <w:style w:type="paragraph" w:styleId="a9">
    <w:name w:val="footer"/>
    <w:basedOn w:val="a"/>
    <w:link w:val="aa"/>
    <w:uiPriority w:val="99"/>
    <w:pPr>
      <w:tabs>
        <w:tab w:val="center" w:pos="4153"/>
        <w:tab w:val="right" w:pos="8306"/>
      </w:tabs>
      <w:snapToGrid w:val="0"/>
      <w:jc w:val="left"/>
    </w:pPr>
    <w:rPr>
      <w:kern w:val="0"/>
      <w:sz w:val="18"/>
      <w:szCs w:val="18"/>
    </w:rPr>
  </w:style>
  <w:style w:type="character" w:customStyle="1" w:styleId="aa">
    <w:name w:val="页脚 字符"/>
    <w:link w:val="a9"/>
    <w:uiPriority w:val="99"/>
    <w:rPr>
      <w:rFonts w:ascii="Times New Roman" w:eastAsia="宋体" w:hAnsi="Times New Roman" w:cs="Times New Roman"/>
      <w:kern w:val="0"/>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kern w:val="0"/>
      <w:sz w:val="18"/>
      <w:szCs w:val="18"/>
    </w:rPr>
  </w:style>
  <w:style w:type="character" w:customStyle="1" w:styleId="ac">
    <w:name w:val="页眉 字符"/>
    <w:link w:val="ab"/>
    <w:rPr>
      <w:rFonts w:ascii="Times New Roman" w:eastAsia="宋体" w:hAnsi="Times New Roman" w:cs="Times New Roman"/>
      <w:kern w:val="0"/>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d">
    <w:name w:val="annotation subject"/>
    <w:basedOn w:val="a3"/>
    <w:next w:val="a3"/>
    <w:link w:val="ae"/>
    <w:uiPriority w:val="99"/>
    <w:unhideWhenUsed/>
    <w:rPr>
      <w:b/>
      <w:bCs/>
    </w:rPr>
  </w:style>
  <w:style w:type="character" w:customStyle="1" w:styleId="ae">
    <w:name w:val="批注主题 字符"/>
    <w:link w:val="ad"/>
    <w:uiPriority w:val="99"/>
    <w:semiHidden/>
    <w:rPr>
      <w:rFonts w:ascii="Times New Roman" w:eastAsia="宋体" w:hAnsi="Times New Roman" w:cs="Times New Roman"/>
      <w:b/>
      <w:bCs/>
      <w:kern w:val="0"/>
      <w:sz w:val="20"/>
      <w:szCs w:val="20"/>
    </w:rPr>
  </w:style>
  <w:style w:type="character" w:styleId="af">
    <w:name w:val="page number"/>
    <w:basedOn w:val="a0"/>
  </w:style>
  <w:style w:type="character" w:styleId="af0">
    <w:name w:val="FollowedHyperlink"/>
    <w:uiPriority w:val="99"/>
    <w:unhideWhenUsed/>
    <w:rPr>
      <w:color w:val="800080"/>
      <w:u w:val="single"/>
    </w:rPr>
  </w:style>
  <w:style w:type="character" w:styleId="af1">
    <w:name w:val="Hyperlink"/>
    <w:uiPriority w:val="99"/>
    <w:unhideWhenUsed/>
    <w:rPr>
      <w:color w:val="0000FF"/>
      <w:u w:val="single"/>
    </w:rPr>
  </w:style>
  <w:style w:type="character" w:styleId="af2">
    <w:name w:val="annotation reference"/>
    <w:uiPriority w:val="99"/>
    <w:unhideWhenUsed/>
    <w:rPr>
      <w:sz w:val="21"/>
      <w:szCs w:val="21"/>
    </w:rPr>
  </w:style>
  <w:style w:type="character" w:customStyle="1" w:styleId="big1">
    <w:name w:val="big1"/>
    <w:basedOn w:val="a0"/>
  </w:style>
  <w:style w:type="paragraph" w:customStyle="1" w:styleId="font5">
    <w:name w:val="font5"/>
    <w:basedOn w:val="a"/>
    <w:pPr>
      <w:widowControl/>
      <w:spacing w:before="100" w:beforeAutospacing="1" w:after="100" w:afterAutospacing="1"/>
      <w:jc w:val="left"/>
    </w:pPr>
    <w:rPr>
      <w:kern w:val="0"/>
      <w:sz w:val="18"/>
      <w:szCs w:val="18"/>
    </w:rPr>
  </w:style>
  <w:style w:type="paragraph" w:customStyle="1" w:styleId="Char">
    <w:name w:val="Char"/>
    <w:basedOn w:val="a"/>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Char0">
    <w:name w:val="Char"/>
    <w:basedOn w:val="a"/>
    <w:pPr>
      <w:ind w:right="-105"/>
    </w:pPr>
    <w:rPr>
      <w:rFonts w:eastAsia="方正仿宋简体"/>
      <w:sz w:val="32"/>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6">
    <w:name w:val="xl66"/>
    <w:basedOn w:val="a"/>
    <w:pPr>
      <w:widowControl/>
      <w:spacing w:before="100" w:beforeAutospacing="1" w:after="100" w:afterAutospacing="1"/>
      <w:jc w:val="center"/>
    </w:pPr>
    <w:rPr>
      <w:rFonts w:ascii="宋体" w:hAnsi="宋体" w:cs="宋体"/>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font7">
    <w:name w:val="font7"/>
    <w:basedOn w:val="a"/>
    <w:pPr>
      <w:widowControl/>
      <w:spacing w:before="100" w:beforeAutospacing="1" w:after="100" w:afterAutospacing="1"/>
      <w:jc w:val="left"/>
    </w:pPr>
    <w:rPr>
      <w:rFonts w:ascii="宋体" w:hAnsi="宋体" w:cs="宋体"/>
      <w:kern w:val="0"/>
      <w:sz w:val="18"/>
      <w:szCs w:val="18"/>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67">
    <w:name w:val="xl67"/>
    <w:basedOn w:val="a"/>
    <w:pPr>
      <w:widowControl/>
      <w:spacing w:before="100" w:beforeAutospacing="1" w:after="100" w:afterAutospacing="1"/>
      <w:jc w:val="left"/>
    </w:pPr>
    <w:rPr>
      <w:rFonts w:ascii="宋体" w:hAnsi="宋体" w:cs="宋体"/>
      <w:kern w:val="0"/>
      <w:sz w:val="24"/>
      <w:szCs w:val="24"/>
    </w:rPr>
  </w:style>
  <w:style w:type="paragraph" w:styleId="TOC">
    <w:name w:val="TOC Heading"/>
    <w:basedOn w:val="1"/>
    <w:next w:val="a"/>
    <w:uiPriority w:val="39"/>
    <w:qFormat/>
    <w:pPr>
      <w:widowControl/>
      <w:spacing w:before="240" w:after="0" w:line="259" w:lineRule="auto"/>
      <w:jc w:val="left"/>
      <w:outlineLvl w:val="9"/>
    </w:pPr>
    <w:rPr>
      <w:rFonts w:ascii="等线 Light" w:eastAsia="等线 Light" w:hAnsi="等线 Light"/>
      <w:b w:val="0"/>
      <w:color w:val="2F5496"/>
      <w:kern w:val="0"/>
      <w:sz w:val="32"/>
      <w:szCs w:val="32"/>
    </w:rPr>
  </w:style>
  <w:style w:type="paragraph" w:styleId="af3">
    <w:name w:val="Revision"/>
    <w:uiPriority w:val="99"/>
    <w:semiHidden/>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6D32-6762-444E-8CA1-C38DC349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52</Pages>
  <Words>17230</Words>
  <Characters>17231</Characters>
  <Application>Microsoft Office Word</Application>
  <DocSecurity>0</DocSecurity>
  <Lines>689</Lines>
  <Paragraphs>638</Paragraphs>
  <ScaleCrop>false</ScaleCrop>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安徽省交通规划设计研究总院</dc:title>
  <dc:creator>Administrator</dc:creator>
  <cp:lastModifiedBy>Grandall_cxj</cp:lastModifiedBy>
  <cp:revision>16</cp:revision>
  <cp:lastPrinted>2022-01-07T08:31:00Z</cp:lastPrinted>
  <dcterms:created xsi:type="dcterms:W3CDTF">2025-11-27T05:40:00Z</dcterms:created>
  <dcterms:modified xsi:type="dcterms:W3CDTF">2025-12-06T12:54:00Z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eyJoZGlkIjoiNDY0NWJkY2ZjNGU3YjkxNTE3ZDI1N2Y4MmI4NTgwYzAiLCJ1c2VySWQiOiIzNDY0NTkxNzIifQ==</vt:lpwstr>
  </property>
  <property fmtid="{D5CDD505-2E9C-101B-9397-08002B2CF9AE}" pid="4" name="ICV">
    <vt:lpwstr>02021B93954C4AF39C5ABF42FEA658AE_12</vt:lpwstr>
  </property>
</Properties>
</file>