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44917F2C"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755472">
        <w:rPr>
          <w:rFonts w:ascii="宋体" w:eastAsia="宋体" w:hAnsi="宋体" w:hint="eastAsia"/>
          <w:sz w:val="24"/>
          <w:szCs w:val="24"/>
        </w:rPr>
        <w:t>0</w:t>
      </w:r>
      <w:r w:rsidR="00CA21ED">
        <w:rPr>
          <w:rFonts w:ascii="宋体" w:eastAsia="宋体" w:hAnsi="宋体" w:hint="eastAsia"/>
          <w:sz w:val="24"/>
          <w:szCs w:val="24"/>
        </w:rPr>
        <w:t>55</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3FBA778C"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w:t>
      </w:r>
      <w:r w:rsidR="00755472">
        <w:rPr>
          <w:rFonts w:ascii="黑体" w:eastAsia="黑体" w:hAnsi="黑体" w:hint="eastAsia"/>
          <w:b/>
          <w:bCs/>
          <w:sz w:val="36"/>
          <w:szCs w:val="36"/>
        </w:rPr>
        <w:t>的</w:t>
      </w:r>
      <w:r w:rsidRPr="000F6CF3">
        <w:rPr>
          <w:rFonts w:ascii="黑体" w:eastAsia="黑体" w:hAnsi="黑体" w:hint="eastAsia"/>
          <w:b/>
          <w:bCs/>
          <w:sz w:val="36"/>
          <w:szCs w:val="36"/>
        </w:rPr>
        <w:t>公告</w:t>
      </w:r>
    </w:p>
    <w:p w14:paraId="513FDA30" w14:textId="2D61788B" w:rsidR="00623EBE" w:rsidRPr="009C1329" w:rsidRDefault="00824AFD" w:rsidP="009C1329">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2962C4" w:rsidRDefault="00BA7D03" w:rsidP="0025489C">
      <w:pPr>
        <w:adjustRightInd w:val="0"/>
        <w:snapToGrid w:val="0"/>
        <w:spacing w:line="560" w:lineRule="exact"/>
        <w:ind w:firstLineChars="200" w:firstLine="482"/>
        <w:rPr>
          <w:rFonts w:ascii="宋体" w:eastAsia="宋体" w:hAnsi="宋体"/>
          <w:b/>
          <w:sz w:val="24"/>
          <w:szCs w:val="24"/>
        </w:rPr>
      </w:pPr>
      <w:r w:rsidRPr="002962C4">
        <w:rPr>
          <w:rFonts w:ascii="宋体" w:eastAsia="宋体" w:hAnsi="宋体" w:hint="eastAsia"/>
          <w:b/>
          <w:sz w:val="24"/>
          <w:szCs w:val="24"/>
        </w:rPr>
        <w:t>重要内容提示:</w:t>
      </w:r>
    </w:p>
    <w:p w14:paraId="03ECC93E" w14:textId="4FC3BAA7" w:rsidR="00623EBE" w:rsidRDefault="00824AFD" w:rsidP="005833E8">
      <w:pPr>
        <w:numPr>
          <w:ilvl w:val="0"/>
          <w:numId w:val="1"/>
        </w:numPr>
        <w:adjustRightInd w:val="0"/>
        <w:snapToGrid w:val="0"/>
        <w:spacing w:after="100" w:afterAutospacing="1" w:line="560" w:lineRule="exact"/>
        <w:ind w:left="0" w:firstLine="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r w:rsidR="005833E8">
        <w:rPr>
          <w:rFonts w:ascii="宋体" w:eastAsia="宋体" w:hAnsi="宋体" w:cs="Times New Roman" w:hint="eastAsia"/>
          <w:bCs/>
          <w:kern w:val="0"/>
          <w:sz w:val="24"/>
          <w:szCs w:val="24"/>
        </w:rPr>
        <w:t>安徽省交通建设股份有限公司（</w:t>
      </w:r>
      <w:r w:rsidR="00C23D01">
        <w:rPr>
          <w:rFonts w:ascii="宋体" w:eastAsia="宋体" w:hAnsi="宋体" w:cs="Times New Roman" w:hint="eastAsia"/>
          <w:bCs/>
          <w:kern w:val="0"/>
          <w:sz w:val="24"/>
          <w:szCs w:val="24"/>
        </w:rPr>
        <w:t>以</w:t>
      </w:r>
      <w:r w:rsidR="005833E8">
        <w:rPr>
          <w:rFonts w:ascii="宋体" w:eastAsia="宋体" w:hAnsi="宋体" w:cs="Times New Roman" w:hint="eastAsia"/>
          <w:bCs/>
          <w:kern w:val="0"/>
          <w:sz w:val="24"/>
          <w:szCs w:val="24"/>
        </w:rPr>
        <w:t>下简称“</w:t>
      </w:r>
      <w:r w:rsidRPr="00824AFD">
        <w:rPr>
          <w:rFonts w:ascii="宋体" w:eastAsia="宋体" w:hAnsi="宋体" w:cs="Times New Roman" w:hint="eastAsia"/>
          <w:bCs/>
          <w:kern w:val="0"/>
          <w:sz w:val="24"/>
          <w:szCs w:val="24"/>
        </w:rPr>
        <w:t>公司</w:t>
      </w:r>
      <w:r w:rsidR="005833E8">
        <w:rPr>
          <w:rFonts w:ascii="宋体" w:eastAsia="宋体" w:hAnsi="宋体" w:cs="Times New Roman" w:hint="eastAsia"/>
          <w:bCs/>
          <w:kern w:val="0"/>
          <w:sz w:val="24"/>
          <w:szCs w:val="24"/>
        </w:rPr>
        <w:t>”）</w:t>
      </w:r>
      <w:r w:rsidRPr="00824AFD">
        <w:rPr>
          <w:rFonts w:ascii="宋体" w:eastAsia="宋体" w:hAnsi="宋体" w:cs="Times New Roman" w:hint="eastAsia"/>
          <w:bCs/>
          <w:kern w:val="0"/>
          <w:sz w:val="24"/>
          <w:szCs w:val="24"/>
        </w:rPr>
        <w:t>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w:t>
      </w:r>
      <w:r w:rsidRPr="001872D1">
        <w:rPr>
          <w:rFonts w:ascii="宋体" w:eastAsia="宋体" w:hAnsi="宋体" w:cs="Times New Roman" w:hint="eastAsia"/>
          <w:bCs/>
          <w:kern w:val="0"/>
          <w:sz w:val="24"/>
          <w:szCs w:val="24"/>
        </w:rPr>
        <w:t>份累计质押数量为</w:t>
      </w:r>
      <w:r w:rsidR="00CA21ED" w:rsidRPr="00CA21ED">
        <w:rPr>
          <w:rFonts w:ascii="宋体" w:eastAsia="宋体" w:hAnsi="宋体" w:cs="Times New Roman"/>
          <w:bCs/>
          <w:kern w:val="0"/>
          <w:sz w:val="24"/>
          <w:szCs w:val="24"/>
        </w:rPr>
        <w:t>229,050,000</w:t>
      </w:r>
      <w:r w:rsidRPr="00A62AAA">
        <w:rPr>
          <w:rFonts w:ascii="宋体" w:eastAsia="宋体" w:hAnsi="宋体" w:cs="Times New Roman" w:hint="eastAsia"/>
          <w:bCs/>
          <w:kern w:val="0"/>
          <w:sz w:val="24"/>
          <w:szCs w:val="24"/>
        </w:rPr>
        <w:t>股（含本次），占其持股数量的</w:t>
      </w:r>
      <w:r w:rsidR="008309E9">
        <w:rPr>
          <w:rFonts w:ascii="宋体" w:eastAsia="宋体" w:hAnsi="宋体" w:cs="Times New Roman" w:hint="eastAsia"/>
          <w:bCs/>
          <w:kern w:val="0"/>
          <w:sz w:val="24"/>
          <w:szCs w:val="24"/>
        </w:rPr>
        <w:t>8</w:t>
      </w:r>
      <w:r w:rsidR="00CA21ED">
        <w:rPr>
          <w:rFonts w:ascii="宋体" w:eastAsia="宋体" w:hAnsi="宋体" w:cs="Times New Roman" w:hint="eastAsia"/>
          <w:bCs/>
          <w:kern w:val="0"/>
          <w:sz w:val="24"/>
          <w:szCs w:val="24"/>
        </w:rPr>
        <w:t>3</w:t>
      </w:r>
      <w:r w:rsidR="008309E9">
        <w:rPr>
          <w:rFonts w:ascii="宋体" w:eastAsia="宋体" w:hAnsi="宋体" w:cs="Times New Roman" w:hint="eastAsia"/>
          <w:bCs/>
          <w:kern w:val="0"/>
          <w:sz w:val="24"/>
          <w:szCs w:val="24"/>
        </w:rPr>
        <w:t>.</w:t>
      </w:r>
      <w:r w:rsidR="00CA21ED">
        <w:rPr>
          <w:rFonts w:ascii="宋体" w:eastAsia="宋体" w:hAnsi="宋体" w:cs="Times New Roman" w:hint="eastAsia"/>
          <w:bCs/>
          <w:kern w:val="0"/>
          <w:sz w:val="24"/>
          <w:szCs w:val="24"/>
        </w:rPr>
        <w:t>51</w:t>
      </w:r>
      <w:r w:rsidR="006D3A6F" w:rsidRPr="00A62AAA">
        <w:rPr>
          <w:rFonts w:ascii="宋体" w:eastAsia="宋体" w:hAnsi="宋体" w:cs="Times New Roman" w:hint="eastAsia"/>
          <w:bCs/>
          <w:kern w:val="0"/>
          <w:sz w:val="24"/>
          <w:szCs w:val="24"/>
        </w:rPr>
        <w:t>%</w:t>
      </w:r>
      <w:r w:rsidR="008D6D42" w:rsidRPr="00A62AAA">
        <w:rPr>
          <w:rFonts w:ascii="宋体" w:eastAsia="宋体" w:hAnsi="宋体" w:cs="Times New Roman" w:hint="eastAsia"/>
          <w:bCs/>
          <w:kern w:val="0"/>
          <w:sz w:val="24"/>
          <w:szCs w:val="24"/>
        </w:rPr>
        <w:t>，占公司总股本的</w:t>
      </w:r>
      <w:r w:rsidR="009C1329" w:rsidRPr="00A62AAA">
        <w:rPr>
          <w:rFonts w:ascii="宋体" w:eastAsia="宋体" w:hAnsi="宋体" w:cs="Times New Roman" w:hint="eastAsia"/>
          <w:bCs/>
          <w:kern w:val="0"/>
          <w:sz w:val="24"/>
          <w:szCs w:val="24"/>
        </w:rPr>
        <w:t>3</w:t>
      </w:r>
      <w:r w:rsidR="00CA21ED">
        <w:rPr>
          <w:rFonts w:ascii="宋体" w:eastAsia="宋体" w:hAnsi="宋体" w:cs="Times New Roman" w:hint="eastAsia"/>
          <w:bCs/>
          <w:kern w:val="0"/>
          <w:sz w:val="24"/>
          <w:szCs w:val="24"/>
        </w:rPr>
        <w:t>7</w:t>
      </w:r>
      <w:r w:rsidR="0046307B">
        <w:rPr>
          <w:rFonts w:ascii="宋体" w:eastAsia="宋体" w:hAnsi="宋体" w:cs="Times New Roman" w:hint="eastAsia"/>
          <w:bCs/>
          <w:kern w:val="0"/>
          <w:sz w:val="24"/>
          <w:szCs w:val="24"/>
        </w:rPr>
        <w:t>.</w:t>
      </w:r>
      <w:r w:rsidR="00CA21ED">
        <w:rPr>
          <w:rFonts w:ascii="宋体" w:eastAsia="宋体" w:hAnsi="宋体" w:cs="Times New Roman" w:hint="eastAsia"/>
          <w:bCs/>
          <w:kern w:val="0"/>
          <w:sz w:val="24"/>
          <w:szCs w:val="24"/>
        </w:rPr>
        <w:t>01</w:t>
      </w:r>
      <w:r w:rsidR="006D3A6F" w:rsidRPr="00A62AAA">
        <w:rPr>
          <w:rFonts w:ascii="宋体" w:eastAsia="宋体" w:hAnsi="宋体" w:cs="Times New Roman" w:hint="eastAsia"/>
          <w:bCs/>
          <w:kern w:val="0"/>
          <w:sz w:val="24"/>
          <w:szCs w:val="24"/>
        </w:rPr>
        <w:t>%</w:t>
      </w:r>
      <w:r w:rsidRPr="00A62AAA">
        <w:rPr>
          <w:rFonts w:ascii="宋体" w:eastAsia="宋体" w:hAnsi="宋体" w:cs="Times New Roman" w:hint="eastAsia"/>
          <w:bCs/>
          <w:kern w:val="0"/>
          <w:sz w:val="24"/>
          <w:szCs w:val="24"/>
        </w:rPr>
        <w:t>。</w:t>
      </w:r>
    </w:p>
    <w:p w14:paraId="195F3DD5" w14:textId="6620D80A" w:rsidR="005903C4" w:rsidRPr="00A62AAA" w:rsidRDefault="005903C4" w:rsidP="005833E8">
      <w:pPr>
        <w:numPr>
          <w:ilvl w:val="0"/>
          <w:numId w:val="1"/>
        </w:numPr>
        <w:adjustRightInd w:val="0"/>
        <w:snapToGrid w:val="0"/>
        <w:spacing w:after="100" w:afterAutospacing="1" w:line="560" w:lineRule="exact"/>
        <w:ind w:left="0" w:firstLine="0"/>
        <w:rPr>
          <w:rFonts w:ascii="宋体" w:eastAsia="宋体" w:hAnsi="宋体" w:cs="Times New Roman"/>
          <w:bCs/>
          <w:kern w:val="0"/>
          <w:sz w:val="24"/>
          <w:szCs w:val="24"/>
        </w:rPr>
      </w:pPr>
      <w:proofErr w:type="gramStart"/>
      <w:r w:rsidRPr="001872D1">
        <w:rPr>
          <w:rFonts w:ascii="宋体" w:eastAsia="宋体" w:hAnsi="宋体" w:cs="Times New Roman" w:hint="eastAsia"/>
          <w:bCs/>
          <w:kern w:val="0"/>
          <w:sz w:val="24"/>
          <w:szCs w:val="24"/>
        </w:rPr>
        <w:t>祥</w:t>
      </w:r>
      <w:proofErr w:type="gramEnd"/>
      <w:r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Pr="00512D92">
        <w:rPr>
          <w:rFonts w:asciiTheme="minorEastAsia" w:hAnsiTheme="minorEastAsia" w:hint="eastAsia"/>
          <w:bCs/>
          <w:color w:val="000000"/>
          <w:sz w:val="24"/>
          <w:szCs w:val="24"/>
        </w:rPr>
        <w:t>245,470,000</w:t>
      </w:r>
      <w:r w:rsidRPr="001872D1">
        <w:rPr>
          <w:rFonts w:ascii="宋体" w:eastAsia="宋体" w:hAnsi="宋体" w:cs="Times New Roman" w:hint="eastAsia"/>
          <w:bCs/>
          <w:kern w:val="0"/>
          <w:sz w:val="24"/>
          <w:szCs w:val="24"/>
        </w:rPr>
        <w:t>股，</w:t>
      </w:r>
      <w:r w:rsidRPr="001872D1">
        <w:rPr>
          <w:rFonts w:ascii="宋体" w:eastAsia="宋体" w:hAnsi="宋体" w:cs="Times New Roman"/>
          <w:bCs/>
          <w:kern w:val="0"/>
          <w:sz w:val="24"/>
          <w:szCs w:val="24"/>
        </w:rPr>
        <w:t>占其所持股份比例</w:t>
      </w:r>
      <w:r w:rsidRPr="001872D1">
        <w:rPr>
          <w:rFonts w:ascii="宋体" w:eastAsia="宋体" w:hAnsi="宋体" w:cs="Times New Roman" w:hint="eastAsia"/>
          <w:bCs/>
          <w:kern w:val="0"/>
          <w:sz w:val="24"/>
          <w:szCs w:val="24"/>
        </w:rPr>
        <w:t>为</w:t>
      </w:r>
      <w:r>
        <w:rPr>
          <w:rFonts w:ascii="宋体" w:eastAsia="宋体" w:hAnsi="宋体" w:cs="Times New Roman" w:hint="eastAsia"/>
          <w:bCs/>
          <w:kern w:val="0"/>
          <w:sz w:val="24"/>
          <w:szCs w:val="24"/>
        </w:rPr>
        <w:t>78.96</w:t>
      </w:r>
      <w:r w:rsidRPr="001872D1">
        <w:rPr>
          <w:rFonts w:ascii="宋体" w:eastAsia="宋体" w:hAnsi="宋体" w:cs="Times New Roman"/>
          <w:bCs/>
          <w:kern w:val="0"/>
          <w:sz w:val="24"/>
          <w:szCs w:val="24"/>
        </w:rPr>
        <w:t>%</w:t>
      </w:r>
      <w:r w:rsidR="001C6744">
        <w:rPr>
          <w:rFonts w:ascii="宋体" w:eastAsia="宋体" w:hAnsi="宋体" w:cs="Times New Roman"/>
          <w:bCs/>
          <w:kern w:val="0"/>
          <w:sz w:val="24"/>
          <w:szCs w:val="24"/>
        </w:rPr>
        <w:t>。</w:t>
      </w:r>
    </w:p>
    <w:p w14:paraId="2DF10386" w14:textId="77777777" w:rsidR="00623EBE" w:rsidRPr="00837C6D" w:rsidRDefault="00824AFD" w:rsidP="001C6744">
      <w:pPr>
        <w:adjustRightInd w:val="0"/>
        <w:snapToGrid w:val="0"/>
        <w:spacing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304BFC2A" w:rsidR="00623EBE" w:rsidRPr="00824AFD" w:rsidRDefault="00824AFD" w:rsidP="009A770B">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263666">
        <w:rPr>
          <w:rFonts w:ascii="宋体" w:eastAsia="宋体" w:hAnsi="宋体" w:cs="Times New Roman" w:hint="eastAsia"/>
          <w:bCs/>
          <w:kern w:val="0"/>
          <w:sz w:val="24"/>
          <w:szCs w:val="24"/>
        </w:rPr>
        <w:t>5</w:t>
      </w:r>
      <w:r w:rsidRPr="00824AFD">
        <w:rPr>
          <w:rFonts w:ascii="宋体" w:eastAsia="宋体" w:hAnsi="宋体" w:cs="Times New Roman" w:hint="eastAsia"/>
          <w:bCs/>
          <w:kern w:val="0"/>
          <w:sz w:val="24"/>
          <w:szCs w:val="24"/>
        </w:rPr>
        <w:t>年</w:t>
      </w:r>
      <w:r w:rsidR="00CA21ED">
        <w:rPr>
          <w:rFonts w:ascii="宋体" w:eastAsia="宋体" w:hAnsi="宋体" w:cs="Times New Roman" w:hint="eastAsia"/>
          <w:bCs/>
          <w:kern w:val="0"/>
          <w:sz w:val="24"/>
          <w:szCs w:val="24"/>
        </w:rPr>
        <w:t>9</w:t>
      </w:r>
      <w:r w:rsidRPr="00824AFD">
        <w:rPr>
          <w:rFonts w:ascii="宋体" w:eastAsia="宋体" w:hAnsi="宋体" w:cs="Times New Roman" w:hint="eastAsia"/>
          <w:bCs/>
          <w:kern w:val="0"/>
          <w:sz w:val="24"/>
          <w:szCs w:val="24"/>
        </w:rPr>
        <w:t>月</w:t>
      </w:r>
      <w:r w:rsidR="00CA21ED">
        <w:rPr>
          <w:rFonts w:ascii="宋体" w:eastAsia="宋体" w:hAnsi="宋体" w:cs="Times New Roman" w:hint="eastAsia"/>
          <w:bCs/>
          <w:kern w:val="0"/>
          <w:sz w:val="24"/>
          <w:szCs w:val="24"/>
        </w:rPr>
        <w:t>4</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9A770B">
      <w:pPr>
        <w:adjustRightInd w:val="0"/>
        <w:snapToGrid w:val="0"/>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7"/>
        <w:gridCol w:w="851"/>
        <w:gridCol w:w="992"/>
        <w:gridCol w:w="709"/>
        <w:gridCol w:w="709"/>
        <w:gridCol w:w="708"/>
        <w:gridCol w:w="851"/>
        <w:gridCol w:w="1276"/>
        <w:gridCol w:w="850"/>
        <w:gridCol w:w="745"/>
        <w:gridCol w:w="814"/>
      </w:tblGrid>
      <w:tr w:rsidR="008D6D42" w:rsidRPr="00734386" w14:paraId="50E6F7B6" w14:textId="77777777" w:rsidTr="00144232">
        <w:trPr>
          <w:trHeight w:val="751"/>
        </w:trPr>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46A756" w14:textId="77777777" w:rsidR="009A770B"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w:t>
            </w:r>
          </w:p>
          <w:p w14:paraId="16507C06" w14:textId="258E3402"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名称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是否为控股股东</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本次质押股数</w:t>
            </w:r>
            <w:r w:rsidR="00734386" w:rsidRPr="004731A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4731A6" w:rsidRDefault="00824AFD"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质押融资资金用途</w:t>
            </w:r>
          </w:p>
        </w:tc>
      </w:tr>
      <w:tr w:rsidR="001872D1" w:rsidRPr="00734386" w14:paraId="5615B693" w14:textId="77777777" w:rsidTr="00144232">
        <w:trPr>
          <w:trHeight w:val="757"/>
        </w:trPr>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BF0068" w14:textId="77777777" w:rsidR="001172D3" w:rsidRDefault="001872D1" w:rsidP="009A770B">
            <w:pPr>
              <w:widowControl/>
              <w:spacing w:afterLines="50" w:after="156"/>
              <w:jc w:val="center"/>
              <w:rPr>
                <w:rFonts w:ascii="宋体" w:eastAsia="宋体" w:hAnsi="宋体" w:cs="宋体" w:hint="eastAsia"/>
                <w:kern w:val="0"/>
                <w:sz w:val="18"/>
                <w:szCs w:val="18"/>
              </w:rPr>
            </w:pPr>
            <w:proofErr w:type="gramStart"/>
            <w:r w:rsidRPr="004731A6">
              <w:rPr>
                <w:rFonts w:ascii="宋体" w:eastAsia="宋体" w:hAnsi="宋体" w:cs="宋体" w:hint="eastAsia"/>
                <w:kern w:val="0"/>
                <w:sz w:val="18"/>
                <w:szCs w:val="18"/>
              </w:rPr>
              <w:t>祥</w:t>
            </w:r>
            <w:proofErr w:type="gramEnd"/>
            <w:r w:rsidRPr="004731A6">
              <w:rPr>
                <w:rFonts w:ascii="宋体" w:eastAsia="宋体" w:hAnsi="宋体" w:cs="宋体" w:hint="eastAsia"/>
                <w:kern w:val="0"/>
                <w:sz w:val="18"/>
                <w:szCs w:val="18"/>
              </w:rPr>
              <w:t>源</w:t>
            </w:r>
          </w:p>
          <w:p w14:paraId="47B9E60C" w14:textId="607F90E3" w:rsidR="001872D1" w:rsidRPr="004731A6" w:rsidRDefault="001872D1"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控股</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18D518A0" w:rsidR="001872D1" w:rsidRPr="004731A6" w:rsidRDefault="001872D1"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6742" w14:textId="47F70A0E" w:rsidR="0046307B" w:rsidRPr="0046307B" w:rsidRDefault="0046307B" w:rsidP="009A770B">
            <w:pPr>
              <w:widowControl/>
              <w:spacing w:afterLines="50" w:after="156"/>
              <w:jc w:val="center"/>
              <w:rPr>
                <w:rFonts w:ascii="宋体" w:eastAsia="宋体" w:hAnsi="宋体" w:cs="宋体"/>
                <w:kern w:val="0"/>
                <w:sz w:val="18"/>
                <w:szCs w:val="18"/>
              </w:rPr>
            </w:pPr>
            <w:r w:rsidRPr="0046307B">
              <w:rPr>
                <w:rFonts w:ascii="宋体" w:eastAsia="宋体" w:hAnsi="宋体" w:cs="宋体" w:hint="eastAsia"/>
                <w:kern w:val="0"/>
                <w:sz w:val="18"/>
                <w:szCs w:val="18"/>
              </w:rPr>
              <w:t xml:space="preserve">            </w:t>
            </w:r>
            <w:r w:rsidR="00CA21ED" w:rsidRPr="00CA21ED">
              <w:rPr>
                <w:rFonts w:ascii="宋体" w:eastAsia="宋体" w:hAnsi="宋体" w:cs="宋体"/>
                <w:kern w:val="0"/>
                <w:sz w:val="18"/>
                <w:szCs w:val="18"/>
              </w:rPr>
              <w:t>18</w:t>
            </w:r>
            <w:r w:rsidR="00CA21ED">
              <w:rPr>
                <w:rFonts w:ascii="宋体" w:eastAsia="宋体" w:hAnsi="宋体" w:cs="宋体" w:hint="eastAsia"/>
                <w:kern w:val="0"/>
                <w:sz w:val="18"/>
                <w:szCs w:val="18"/>
              </w:rPr>
              <w:t>,</w:t>
            </w:r>
            <w:r w:rsidR="00CA21ED" w:rsidRPr="00CA21ED">
              <w:rPr>
                <w:rFonts w:ascii="宋体" w:eastAsia="宋体" w:hAnsi="宋体" w:cs="宋体"/>
                <w:kern w:val="0"/>
                <w:sz w:val="18"/>
                <w:szCs w:val="18"/>
              </w:rPr>
              <w:t>100</w:t>
            </w:r>
            <w:r w:rsidR="00CA21ED">
              <w:rPr>
                <w:rFonts w:ascii="宋体" w:eastAsia="宋体" w:hAnsi="宋体" w:cs="宋体" w:hint="eastAsia"/>
                <w:kern w:val="0"/>
                <w:sz w:val="18"/>
                <w:szCs w:val="18"/>
              </w:rPr>
              <w:t>,</w:t>
            </w:r>
            <w:r w:rsidR="00CA21ED" w:rsidRPr="00CA21ED">
              <w:rPr>
                <w:rFonts w:ascii="宋体" w:eastAsia="宋体" w:hAnsi="宋体" w:cs="宋体"/>
                <w:kern w:val="0"/>
                <w:sz w:val="18"/>
                <w:szCs w:val="18"/>
              </w:rPr>
              <w:t>000</w:t>
            </w:r>
            <w:r w:rsidRPr="0046307B">
              <w:rPr>
                <w:rFonts w:ascii="宋体" w:eastAsia="宋体" w:hAnsi="宋体" w:cs="宋体" w:hint="eastAsia"/>
                <w:kern w:val="0"/>
                <w:sz w:val="18"/>
                <w:szCs w:val="18"/>
              </w:rPr>
              <w:t xml:space="preserve"> </w:t>
            </w:r>
          </w:p>
          <w:p w14:paraId="43E8900E" w14:textId="5532052B" w:rsidR="001872D1" w:rsidRPr="004731A6" w:rsidRDefault="001872D1" w:rsidP="009A770B">
            <w:pPr>
              <w:widowControl/>
              <w:spacing w:afterLines="50" w:after="156"/>
              <w:jc w:val="center"/>
              <w:rPr>
                <w:rFonts w:ascii="宋体" w:eastAsia="宋体" w:hAnsi="宋体" w:cs="宋体"/>
                <w:kern w:val="0"/>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1872D1" w:rsidRPr="004731A6" w:rsidRDefault="001872D1" w:rsidP="009A770B">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1872D1" w:rsidRPr="004731A6" w:rsidRDefault="001872D1" w:rsidP="009A770B">
            <w:pPr>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3AFF9304" w:rsidR="001872D1" w:rsidRPr="004731A6" w:rsidRDefault="00252706" w:rsidP="009A770B">
            <w:pPr>
              <w:spacing w:afterLines="50" w:after="156"/>
              <w:rPr>
                <w:rFonts w:ascii="宋体" w:eastAsia="宋体" w:hAnsi="宋体" w:cs="宋体"/>
                <w:kern w:val="0"/>
                <w:sz w:val="18"/>
                <w:szCs w:val="18"/>
              </w:rPr>
            </w:pPr>
            <w:r>
              <w:rPr>
                <w:rFonts w:ascii="宋体" w:eastAsia="宋体" w:hAnsi="宋体" w:cs="宋体" w:hint="eastAsia"/>
                <w:kern w:val="0"/>
                <w:sz w:val="18"/>
                <w:szCs w:val="18"/>
              </w:rPr>
              <w:t>2025年</w:t>
            </w:r>
            <w:r w:rsidR="00CA21ED">
              <w:rPr>
                <w:rFonts w:ascii="宋体" w:eastAsia="宋体" w:hAnsi="宋体" w:cs="宋体" w:hint="eastAsia"/>
                <w:kern w:val="0"/>
                <w:sz w:val="18"/>
                <w:szCs w:val="18"/>
              </w:rPr>
              <w:t>9</w:t>
            </w:r>
            <w:r>
              <w:rPr>
                <w:rFonts w:ascii="宋体" w:eastAsia="宋体" w:hAnsi="宋体" w:cs="宋体" w:hint="eastAsia"/>
                <w:kern w:val="0"/>
                <w:sz w:val="18"/>
                <w:szCs w:val="18"/>
              </w:rPr>
              <w:t>月</w:t>
            </w:r>
            <w:r w:rsidR="00CA21ED">
              <w:rPr>
                <w:rFonts w:ascii="宋体" w:eastAsia="宋体" w:hAnsi="宋体" w:cs="宋体" w:hint="eastAsia"/>
                <w:kern w:val="0"/>
                <w:sz w:val="18"/>
                <w:szCs w:val="18"/>
              </w:rPr>
              <w:t>3</w:t>
            </w:r>
            <w:r>
              <w:rPr>
                <w:rFonts w:ascii="宋体" w:eastAsia="宋体" w:hAnsi="宋体" w:cs="宋体" w:hint="eastAsia"/>
                <w:kern w:val="0"/>
                <w:sz w:val="18"/>
                <w:szCs w:val="18"/>
              </w:rPr>
              <w:t>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48C40988" w:rsidR="001872D1" w:rsidRPr="004731A6" w:rsidRDefault="00876FFB" w:rsidP="009A770B">
            <w:pPr>
              <w:spacing w:afterLines="50" w:after="156"/>
              <w:rPr>
                <w:rFonts w:ascii="宋体" w:eastAsia="宋体" w:hAnsi="宋体" w:cs="宋体"/>
                <w:kern w:val="0"/>
                <w:sz w:val="18"/>
                <w:szCs w:val="18"/>
              </w:rPr>
            </w:pPr>
            <w:r>
              <w:rPr>
                <w:rFonts w:ascii="宋体" w:eastAsia="宋体" w:hAnsi="宋体" w:cs="宋体" w:hint="eastAsia"/>
                <w:kern w:val="0"/>
                <w:sz w:val="18"/>
                <w:szCs w:val="18"/>
              </w:rPr>
              <w:t>202</w:t>
            </w:r>
            <w:r w:rsidR="00D655F3">
              <w:rPr>
                <w:rFonts w:ascii="宋体" w:eastAsia="宋体" w:hAnsi="宋体" w:cs="宋体" w:hint="eastAsia"/>
                <w:kern w:val="0"/>
                <w:sz w:val="18"/>
                <w:szCs w:val="18"/>
              </w:rPr>
              <w:t>7</w:t>
            </w:r>
            <w:r>
              <w:rPr>
                <w:rFonts w:ascii="宋体" w:eastAsia="宋体" w:hAnsi="宋体" w:cs="宋体" w:hint="eastAsia"/>
                <w:kern w:val="0"/>
                <w:sz w:val="18"/>
                <w:szCs w:val="18"/>
              </w:rPr>
              <w:t>年</w:t>
            </w:r>
            <w:r w:rsidR="009F44C7">
              <w:rPr>
                <w:rFonts w:ascii="宋体" w:eastAsia="宋体" w:hAnsi="宋体" w:cs="宋体" w:hint="eastAsia"/>
                <w:kern w:val="0"/>
                <w:sz w:val="18"/>
                <w:szCs w:val="18"/>
              </w:rPr>
              <w:t>9</w:t>
            </w:r>
            <w:r>
              <w:rPr>
                <w:rFonts w:ascii="宋体" w:eastAsia="宋体" w:hAnsi="宋体" w:cs="宋体" w:hint="eastAsia"/>
                <w:kern w:val="0"/>
                <w:sz w:val="18"/>
                <w:szCs w:val="18"/>
              </w:rPr>
              <w:t>月</w:t>
            </w:r>
            <w:r w:rsidR="009F44C7">
              <w:rPr>
                <w:rFonts w:ascii="宋体" w:eastAsia="宋体" w:hAnsi="宋体" w:cs="宋体" w:hint="eastAsia"/>
                <w:kern w:val="0"/>
                <w:sz w:val="18"/>
                <w:szCs w:val="18"/>
              </w:rPr>
              <w:t>30</w:t>
            </w:r>
            <w:r>
              <w:rPr>
                <w:rFonts w:ascii="宋体" w:eastAsia="宋体" w:hAnsi="宋体" w:cs="宋体" w:hint="eastAsia"/>
                <w:kern w:val="0"/>
                <w:sz w:val="18"/>
                <w:szCs w:val="18"/>
              </w:rPr>
              <w:t>日</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6F864EF4" w:rsidR="001872D1" w:rsidRPr="004731A6" w:rsidRDefault="00055564" w:rsidP="009A770B">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山东省国际信托股份有限公司</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2926B87E" w:rsidR="001872D1" w:rsidRPr="004731A6" w:rsidRDefault="00AF1C5D" w:rsidP="009A770B">
            <w:pPr>
              <w:widowControl/>
              <w:spacing w:afterLines="50" w:after="156"/>
              <w:jc w:val="right"/>
              <w:rPr>
                <w:rFonts w:ascii="宋体" w:eastAsia="宋体" w:hAnsi="宋体" w:cs="宋体"/>
                <w:kern w:val="0"/>
                <w:sz w:val="18"/>
                <w:szCs w:val="18"/>
              </w:rPr>
            </w:pPr>
            <w:r>
              <w:rPr>
                <w:rFonts w:ascii="宋体" w:eastAsia="宋体" w:hAnsi="宋体" w:cs="宋体" w:hint="eastAsia"/>
                <w:kern w:val="0"/>
                <w:sz w:val="18"/>
                <w:szCs w:val="18"/>
              </w:rPr>
              <w:t>6.60%</w:t>
            </w:r>
          </w:p>
        </w:tc>
        <w:tc>
          <w:tcPr>
            <w:tcW w:w="74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714F2BA2" w:rsidR="001872D1" w:rsidRPr="004731A6" w:rsidRDefault="00AF1C5D" w:rsidP="009A770B">
            <w:pPr>
              <w:widowControl/>
              <w:spacing w:afterLines="50" w:after="156"/>
              <w:jc w:val="right"/>
              <w:rPr>
                <w:rFonts w:ascii="宋体" w:eastAsia="宋体" w:hAnsi="宋体" w:cs="宋体"/>
                <w:kern w:val="0"/>
                <w:sz w:val="18"/>
                <w:szCs w:val="18"/>
              </w:rPr>
            </w:pPr>
            <w:r>
              <w:rPr>
                <w:rFonts w:ascii="宋体" w:eastAsia="宋体" w:hAnsi="宋体" w:cs="宋体" w:hint="eastAsia"/>
                <w:kern w:val="0"/>
                <w:sz w:val="18"/>
                <w:szCs w:val="18"/>
              </w:rPr>
              <w:t>2.92%</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18E8D934" w:rsidR="001872D1" w:rsidRPr="004731A6" w:rsidRDefault="00A359D2" w:rsidP="009A770B">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偿还债务</w:t>
            </w:r>
          </w:p>
        </w:tc>
      </w:tr>
    </w:tbl>
    <w:p w14:paraId="1A0A0384" w14:textId="328315E3" w:rsidR="00EE690F" w:rsidRDefault="00824AFD"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w:t>
      </w:r>
      <w:bookmarkStart w:id="0" w:name="_GoBack"/>
      <w:bookmarkEnd w:id="0"/>
      <w:r w:rsidR="00824AFD" w:rsidRPr="00824AFD">
        <w:rPr>
          <w:rFonts w:ascii="宋体" w:eastAsia="宋体" w:hAnsi="宋体" w:cs="Times New Roman" w:hint="eastAsia"/>
          <w:bCs/>
          <w:kern w:val="0"/>
          <w:sz w:val="24"/>
          <w:szCs w:val="24"/>
        </w:rPr>
        <w:t>况</w:t>
      </w:r>
    </w:p>
    <w:p w14:paraId="6954DD53" w14:textId="77777777" w:rsidR="00837C6D" w:rsidRPr="00A642AE" w:rsidRDefault="00824AFD" w:rsidP="009A770B">
      <w:pPr>
        <w:adjustRightInd w:val="0"/>
        <w:snapToGrid w:val="0"/>
        <w:spacing w:afterLines="50" w:after="156" w:line="360" w:lineRule="auto"/>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lastRenderedPageBreak/>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A642AE"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Cs w:val="21"/>
        </w:rPr>
      </w:pPr>
      <w:r w:rsidRPr="00A642AE">
        <w:rPr>
          <w:rFonts w:ascii="宋体" w:eastAsia="宋体" w:hAnsi="宋体" w:cs="Times New Roman"/>
          <w:bCs/>
          <w:kern w:val="0"/>
          <w:sz w:val="24"/>
          <w:szCs w:val="24"/>
        </w:rPr>
        <w:t xml:space="preserve">                                           </w:t>
      </w:r>
      <w:r w:rsidRPr="00A642AE">
        <w:rPr>
          <w:rFonts w:ascii="宋体" w:eastAsia="宋体" w:hAnsi="宋体" w:cs="Times New Roman"/>
          <w:bCs/>
          <w:kern w:val="0"/>
          <w:szCs w:val="21"/>
        </w:rPr>
        <w:t xml:space="preserve">   </w:t>
      </w:r>
      <w:r w:rsidRPr="00A642AE">
        <w:rPr>
          <w:rFonts w:ascii="宋体" w:eastAsia="宋体" w:hAnsi="宋体" w:cs="Times New Roman" w:hint="eastAsia"/>
          <w:bCs/>
          <w:kern w:val="0"/>
          <w:szCs w:val="21"/>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A21ED"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CA21ED" w:rsidRDefault="00824AFD" w:rsidP="00035EC5">
            <w:pPr>
              <w:spacing w:afterLines="50" w:after="156"/>
              <w:jc w:val="center"/>
              <w:rPr>
                <w:rFonts w:asciiTheme="minorEastAsia" w:hAnsiTheme="minorEastAsia" w:cs="宋体"/>
                <w:kern w:val="0"/>
                <w:szCs w:val="21"/>
              </w:rPr>
            </w:pPr>
            <w:r w:rsidRPr="00CA21ED">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CA21ED" w:rsidRDefault="00824AFD" w:rsidP="00035EC5">
            <w:pPr>
              <w:widowControl/>
              <w:spacing w:afterLines="50" w:after="156"/>
              <w:jc w:val="center"/>
              <w:rPr>
                <w:rFonts w:asciiTheme="minorEastAsia" w:hAnsiTheme="minorEastAsia" w:cs="宋体"/>
                <w:kern w:val="0"/>
                <w:szCs w:val="21"/>
              </w:rPr>
            </w:pPr>
            <w:r w:rsidRPr="00CA21ED">
              <w:rPr>
                <w:rFonts w:asciiTheme="minorEastAsia" w:hAnsiTheme="minorEastAsia" w:cs="宋体"/>
                <w:kern w:val="0"/>
                <w:szCs w:val="21"/>
              </w:rPr>
              <w:t>未质押股份情况</w:t>
            </w:r>
          </w:p>
        </w:tc>
      </w:tr>
      <w:tr w:rsidR="00035EC5" w:rsidRPr="00CA21ED"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CA21ED"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CA21ED"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CA21ED" w:rsidRDefault="00824AFD" w:rsidP="00D10833">
            <w:pPr>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CA21ED" w:rsidRDefault="00824AFD" w:rsidP="00D10833">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CA21ED" w:rsidRDefault="00824AFD" w:rsidP="00D10833">
            <w:pPr>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CA21ED" w:rsidRDefault="00824AFD" w:rsidP="00D10833">
            <w:pPr>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未质押股份中冻结股份数量</w:t>
            </w:r>
          </w:p>
        </w:tc>
      </w:tr>
      <w:tr w:rsidR="00CA21ED" w:rsidRPr="00CA21ED"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CA21ED" w:rsidRPr="00CA21ED" w:rsidRDefault="00CA21ED" w:rsidP="001872D1">
            <w:pPr>
              <w:widowControl/>
              <w:spacing w:afterLines="50" w:after="156"/>
              <w:jc w:val="left"/>
              <w:rPr>
                <w:rFonts w:asciiTheme="minorEastAsia" w:hAnsiTheme="minorEastAsia" w:cs="宋体"/>
                <w:kern w:val="0"/>
                <w:szCs w:val="21"/>
              </w:rPr>
            </w:pPr>
            <w:proofErr w:type="gramStart"/>
            <w:r w:rsidRPr="00CA21ED">
              <w:rPr>
                <w:rFonts w:asciiTheme="minorEastAsia" w:hAnsiTheme="minorEastAsia" w:cs="宋体" w:hint="eastAsia"/>
                <w:kern w:val="0"/>
                <w:szCs w:val="21"/>
              </w:rPr>
              <w:t>祥</w:t>
            </w:r>
            <w:proofErr w:type="gramEnd"/>
            <w:r w:rsidRPr="00CA21ED">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05513F4D" w:rsidR="00CA21ED" w:rsidRPr="00CA21ED" w:rsidRDefault="00CA21ED" w:rsidP="001872D1">
            <w:pPr>
              <w:jc w:val="right"/>
              <w:rPr>
                <w:rFonts w:asciiTheme="minorEastAsia" w:hAnsiTheme="minorEastAsia" w:cs="宋体"/>
                <w:szCs w:val="21"/>
              </w:rPr>
            </w:pPr>
            <w:r w:rsidRPr="00CA21ED">
              <w:rPr>
                <w:rFonts w:asciiTheme="minorEastAsia" w:hAnsiTheme="minorEastAsia" w:cs="宋体"/>
                <w:szCs w:val="21"/>
              </w:rPr>
              <w:t>210,950,000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0B0DCE11"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 xml:space="preserve">  229,050,000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275F373D"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83.51%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5EBF86E5" w:rsidR="00CA21ED" w:rsidRPr="00CA21ED" w:rsidRDefault="00CA21ED" w:rsidP="00CA21ED">
            <w:pPr>
              <w:jc w:val="right"/>
              <w:rPr>
                <w:rFonts w:asciiTheme="minorEastAsia" w:hAnsiTheme="minorEastAsia" w:cs="宋体"/>
                <w:szCs w:val="21"/>
                <w:highlight w:val="yellow"/>
              </w:rPr>
            </w:pPr>
            <w:r w:rsidRPr="00CA21ED">
              <w:rPr>
                <w:rFonts w:asciiTheme="minorEastAsia" w:hAnsiTheme="minorEastAsia" w:hint="eastAsia"/>
                <w:color w:val="000000"/>
                <w:szCs w:val="21"/>
              </w:rPr>
              <w:t>37.01%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r>
      <w:tr w:rsidR="00CA21ED" w:rsidRPr="00CA21ED"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CA21ED" w:rsidRPr="00CA21ED" w:rsidRDefault="00CA21ED" w:rsidP="001872D1">
            <w:pPr>
              <w:widowControl/>
              <w:spacing w:afterLines="50" w:after="156"/>
              <w:jc w:val="left"/>
              <w:rPr>
                <w:rFonts w:asciiTheme="minorEastAsia" w:hAnsiTheme="minorEastAsia" w:cs="宋体"/>
                <w:kern w:val="0"/>
                <w:szCs w:val="21"/>
              </w:rPr>
            </w:pPr>
            <w:r w:rsidRPr="00CA21ED">
              <w:rPr>
                <w:rFonts w:asciiTheme="minorEastAsia" w:hAnsiTheme="minorEastAsia" w:cs="宋体" w:hint="eastAsia"/>
                <w:kern w:val="0"/>
                <w:szCs w:val="21"/>
              </w:rPr>
              <w:t>黄山市为</w:t>
            </w:r>
            <w:proofErr w:type="gramStart"/>
            <w:r w:rsidRPr="00CA21ED">
              <w:rPr>
                <w:rFonts w:asciiTheme="minorEastAsia" w:hAnsiTheme="minorEastAsia" w:cs="宋体" w:hint="eastAsia"/>
                <w:kern w:val="0"/>
                <w:szCs w:val="21"/>
              </w:rPr>
              <w:t>众投资</w:t>
            </w:r>
            <w:proofErr w:type="gramEnd"/>
            <w:r w:rsidRPr="00CA21ED">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18F62579" w:rsidR="00CA21ED" w:rsidRPr="00CA21ED" w:rsidRDefault="00CA21ED" w:rsidP="001872D1">
            <w:pPr>
              <w:jc w:val="right"/>
              <w:rPr>
                <w:rFonts w:asciiTheme="minorEastAsia" w:hAnsiTheme="minorEastAsia" w:cs="宋体"/>
                <w:szCs w:val="21"/>
              </w:rPr>
            </w:pPr>
            <w:r w:rsidRPr="00CA21ED">
              <w:rPr>
                <w:rFonts w:asciiTheme="minorEastAsia" w:hAnsiTheme="minorEastAsia" w:cs="宋体" w:hint="eastAsia"/>
                <w:color w:val="000000"/>
                <w:kern w:val="0"/>
                <w:szCs w:val="21"/>
                <w:lang w:bidi="ar"/>
              </w:rPr>
              <w:t>4,000,000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2BA70DB6"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4,000,000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73BF4ACF"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46.03%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74A6F81F" w:rsidR="00CA21ED" w:rsidRPr="00CA21ED" w:rsidRDefault="00CA21ED" w:rsidP="00CA21ED">
            <w:pPr>
              <w:jc w:val="right"/>
              <w:rPr>
                <w:rFonts w:asciiTheme="minorEastAsia" w:hAnsiTheme="minorEastAsia" w:cs="宋体"/>
                <w:szCs w:val="21"/>
                <w:highlight w:val="yellow"/>
              </w:rPr>
            </w:pPr>
            <w:r w:rsidRPr="00CA21ED">
              <w:rPr>
                <w:rFonts w:asciiTheme="minorEastAsia" w:hAnsiTheme="minorEastAsia" w:hint="eastAsia"/>
                <w:color w:val="000000"/>
                <w:szCs w:val="21"/>
              </w:rPr>
              <w:t>0.65%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r>
      <w:tr w:rsidR="00CA21ED" w:rsidRPr="00CA21ED"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CA21ED" w:rsidRPr="00CA21ED" w:rsidRDefault="00CA21ED" w:rsidP="001872D1">
            <w:pPr>
              <w:widowControl/>
              <w:spacing w:afterLines="50" w:after="156"/>
              <w:jc w:val="left"/>
              <w:rPr>
                <w:rFonts w:asciiTheme="minorEastAsia" w:hAnsiTheme="minorEastAsia" w:cs="宋体"/>
                <w:kern w:val="0"/>
                <w:szCs w:val="21"/>
              </w:rPr>
            </w:pPr>
            <w:r w:rsidRPr="00CA21ED">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360844C9" w:rsidR="00CA21ED" w:rsidRPr="00CA21ED" w:rsidRDefault="00CA21ED" w:rsidP="001872D1">
            <w:pPr>
              <w:jc w:val="right"/>
              <w:rPr>
                <w:rFonts w:asciiTheme="minorEastAsia" w:hAnsiTheme="minorEastAsia" w:cs="宋体"/>
                <w:szCs w:val="21"/>
              </w:rPr>
            </w:pPr>
            <w:r w:rsidRPr="00CA21ED">
              <w:rPr>
                <w:rFonts w:asciiTheme="minorEastAsia" w:hAnsiTheme="minorEastAsia" w:cs="宋体" w:hint="eastAsia"/>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42C5C70C"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505E1230"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4489C3E8" w:rsidR="00CA21ED" w:rsidRPr="00CA21ED" w:rsidRDefault="00CA21ED" w:rsidP="00CA21ED">
            <w:pPr>
              <w:jc w:val="right"/>
              <w:rPr>
                <w:rFonts w:asciiTheme="minorEastAsia" w:hAnsiTheme="minorEastAsia" w:cs="宋体"/>
                <w:szCs w:val="21"/>
                <w:highlight w:val="yellow"/>
              </w:rPr>
            </w:pPr>
            <w:r w:rsidRPr="00CA21ED">
              <w:rPr>
                <w:rFonts w:asciiTheme="minorEastAsia" w:hAnsiTheme="minorEastAsia" w:hint="eastAsia"/>
                <w:color w:val="000000"/>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r>
      <w:tr w:rsidR="00CA21ED" w:rsidRPr="00CA21ED"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CA21ED" w:rsidRPr="00CA21ED" w:rsidRDefault="00CA21ED" w:rsidP="001872D1">
            <w:pPr>
              <w:widowControl/>
              <w:spacing w:afterLines="50" w:after="156"/>
              <w:jc w:val="left"/>
              <w:rPr>
                <w:rFonts w:asciiTheme="minorEastAsia" w:hAnsiTheme="minorEastAsia" w:cs="宋体"/>
                <w:kern w:val="0"/>
                <w:szCs w:val="21"/>
              </w:rPr>
            </w:pPr>
            <w:r w:rsidRPr="00CA21ED">
              <w:rPr>
                <w:rFonts w:asciiTheme="minorEastAsia" w:hAnsiTheme="minorEastAsia" w:cs="宋体" w:hint="eastAsia"/>
                <w:color w:val="000000"/>
                <w:kern w:val="0"/>
                <w:szCs w:val="21"/>
              </w:rPr>
              <w:t>黄山市行</w:t>
            </w:r>
            <w:proofErr w:type="gramStart"/>
            <w:r w:rsidRPr="00CA21ED">
              <w:rPr>
                <w:rFonts w:asciiTheme="minorEastAsia" w:hAnsiTheme="minorEastAsia" w:cs="宋体" w:hint="eastAsia"/>
                <w:color w:val="000000"/>
                <w:kern w:val="0"/>
                <w:szCs w:val="21"/>
              </w:rPr>
              <w:t>远投资</w:t>
            </w:r>
            <w:proofErr w:type="gramEnd"/>
            <w:r w:rsidRPr="00CA21ED">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7643A4D7" w:rsidR="00CA21ED" w:rsidRPr="00CA21ED" w:rsidRDefault="00CA21ED" w:rsidP="001872D1">
            <w:pPr>
              <w:jc w:val="right"/>
              <w:rPr>
                <w:rFonts w:asciiTheme="minorEastAsia" w:hAnsiTheme="minorEastAsia" w:cs="宋体"/>
                <w:szCs w:val="21"/>
              </w:rPr>
            </w:pPr>
            <w:r w:rsidRPr="00CA21ED">
              <w:rPr>
                <w:rFonts w:asciiTheme="minorEastAsia" w:hAnsiTheme="minorEastAsia" w:cs="宋体" w:hint="eastAsia"/>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871FF96"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64BA86E3"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742D84DA" w:rsidR="00CA21ED" w:rsidRPr="00CA21ED" w:rsidRDefault="00CA21ED" w:rsidP="00CA21ED">
            <w:pPr>
              <w:jc w:val="right"/>
              <w:rPr>
                <w:rFonts w:asciiTheme="minorEastAsia" w:hAnsiTheme="minorEastAsia" w:cs="宋体"/>
                <w:szCs w:val="21"/>
                <w:highlight w:val="yellow"/>
              </w:rPr>
            </w:pPr>
            <w:r w:rsidRPr="00CA21ED">
              <w:rPr>
                <w:rFonts w:asciiTheme="minorEastAsia" w:hAnsiTheme="minorEastAsia" w:hint="eastAsia"/>
                <w:color w:val="000000"/>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r>
      <w:tr w:rsidR="00CA21ED" w:rsidRPr="00CA21ED"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CA21ED" w:rsidRPr="00CA21ED" w:rsidRDefault="00CA21ED" w:rsidP="001872D1">
            <w:pPr>
              <w:widowControl/>
              <w:spacing w:afterLines="50" w:after="156"/>
              <w:jc w:val="left"/>
              <w:rPr>
                <w:rFonts w:asciiTheme="minorEastAsia" w:hAnsiTheme="minorEastAsia" w:cs="宋体"/>
                <w:kern w:val="0"/>
                <w:szCs w:val="21"/>
              </w:rPr>
            </w:pPr>
            <w:proofErr w:type="gramStart"/>
            <w:r w:rsidRPr="00CA21ED">
              <w:rPr>
                <w:rFonts w:asciiTheme="minorEastAsia" w:hAnsiTheme="minorEastAsia" w:cs="宋体" w:hint="eastAsia"/>
                <w:kern w:val="0"/>
                <w:szCs w:val="21"/>
              </w:rPr>
              <w:t>俞</w:t>
            </w:r>
            <w:proofErr w:type="gramEnd"/>
            <w:r w:rsidRPr="00CA21ED">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1C17B36F" w:rsidR="00CA21ED" w:rsidRPr="00CA21ED" w:rsidRDefault="00CA21ED" w:rsidP="001872D1">
            <w:pPr>
              <w:jc w:val="right"/>
              <w:rPr>
                <w:rFonts w:asciiTheme="minorEastAsia" w:hAnsiTheme="minorEastAsia" w:cs="宋体"/>
                <w:szCs w:val="21"/>
              </w:rPr>
            </w:pPr>
            <w:r w:rsidRPr="00CA21ED">
              <w:rPr>
                <w:rFonts w:asciiTheme="minorEastAsia" w:hAnsiTheme="minorEastAsia"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0866EA5F"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3914D43C" w:rsidR="00CA21ED" w:rsidRPr="00CA21ED" w:rsidRDefault="00CA21ED" w:rsidP="001872D1">
            <w:pPr>
              <w:jc w:val="right"/>
              <w:rPr>
                <w:rFonts w:asciiTheme="minorEastAsia" w:hAnsiTheme="minorEastAsia" w:cs="宋体"/>
                <w:szCs w:val="21"/>
                <w:highlight w:val="yellow"/>
              </w:rPr>
            </w:pPr>
            <w:r w:rsidRPr="00CA21ED">
              <w:rPr>
                <w:rFonts w:asciiTheme="minorEastAsia" w:hAnsiTheme="minorEastAsia" w:hint="eastAsia"/>
                <w:color w:val="000000"/>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114E9CC7" w:rsidR="00CA21ED" w:rsidRPr="00CA21ED" w:rsidRDefault="00CA21ED" w:rsidP="00CA21ED">
            <w:pPr>
              <w:jc w:val="right"/>
              <w:rPr>
                <w:rFonts w:asciiTheme="minorEastAsia" w:hAnsiTheme="minorEastAsia" w:cs="宋体"/>
                <w:szCs w:val="21"/>
                <w:highlight w:val="yellow"/>
              </w:rPr>
            </w:pPr>
            <w:r w:rsidRPr="00CA21ED">
              <w:rPr>
                <w:rFonts w:asciiTheme="minorEastAsia" w:hAnsiTheme="minorEastAsia" w:hint="eastAsia"/>
                <w:color w:val="000000"/>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CA21ED" w:rsidRPr="00CA21ED" w:rsidRDefault="00CA21ED" w:rsidP="001872D1">
            <w:pPr>
              <w:jc w:val="right"/>
              <w:rPr>
                <w:rFonts w:asciiTheme="minorEastAsia" w:hAnsiTheme="minorEastAsia" w:cs="宋体"/>
                <w:color w:val="000000"/>
                <w:szCs w:val="21"/>
              </w:rPr>
            </w:pPr>
            <w:r w:rsidRPr="00CA21ED">
              <w:rPr>
                <w:rFonts w:asciiTheme="minorEastAsia" w:hAnsiTheme="minorEastAsia" w:cs="宋体" w:hint="eastAsia"/>
                <w:kern w:val="0"/>
                <w:szCs w:val="21"/>
                <w:lang w:bidi="ar"/>
              </w:rPr>
              <w:t>0</w:t>
            </w:r>
          </w:p>
        </w:tc>
      </w:tr>
      <w:tr w:rsidR="00CA21ED" w:rsidRPr="00CA21ED"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CA21ED" w:rsidRPr="00CA21ED" w:rsidRDefault="00CA21ED" w:rsidP="001872D1">
            <w:pPr>
              <w:widowControl/>
              <w:spacing w:afterLines="50" w:after="156"/>
              <w:jc w:val="center"/>
              <w:rPr>
                <w:rFonts w:asciiTheme="minorEastAsia" w:hAnsiTheme="minorEastAsia" w:cs="宋体"/>
                <w:kern w:val="0"/>
                <w:szCs w:val="21"/>
              </w:rPr>
            </w:pPr>
            <w:r w:rsidRPr="00CA21ED">
              <w:rPr>
                <w:rFonts w:asciiTheme="minorEastAsia" w:hAnsiTheme="minorEastAsia" w:cs="宋体" w:hint="eastAsia"/>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CA21ED" w:rsidRPr="00CA21ED" w:rsidRDefault="00CA21ED" w:rsidP="00CA21ED">
            <w:pPr>
              <w:widowControl/>
              <w:spacing w:afterLines="50" w:after="156"/>
              <w:jc w:val="right"/>
              <w:rPr>
                <w:rFonts w:asciiTheme="minorEastAsia" w:hAnsiTheme="minorEastAsia" w:cs="宋体"/>
                <w:kern w:val="0"/>
                <w:szCs w:val="21"/>
              </w:rPr>
            </w:pPr>
            <w:r w:rsidRPr="00CA21ED">
              <w:rPr>
                <w:rFonts w:asciiTheme="minorEastAsia" w:hAnsiTheme="minorEastAsia" w:cs="宋体" w:hint="eastAsia"/>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CA21ED" w:rsidRPr="00CA21ED" w:rsidRDefault="00CA21ED" w:rsidP="00CA21ED">
            <w:pPr>
              <w:widowControl/>
              <w:spacing w:afterLines="50" w:after="156"/>
              <w:jc w:val="right"/>
              <w:rPr>
                <w:rFonts w:asciiTheme="minorEastAsia" w:hAnsiTheme="minorEastAsia" w:cs="宋体"/>
                <w:kern w:val="0"/>
                <w:szCs w:val="21"/>
              </w:rPr>
            </w:pPr>
            <w:r w:rsidRPr="00CA21ED">
              <w:rPr>
                <w:rFonts w:asciiTheme="minorEastAsia" w:hAnsiTheme="minorEastAsia" w:cs="宋体" w:hint="eastAsia"/>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544B6F62" w:rsidR="00CA21ED" w:rsidRPr="00CA21ED" w:rsidRDefault="00CA21ED" w:rsidP="00CA21ED">
            <w:pPr>
              <w:widowControl/>
              <w:spacing w:afterLines="50" w:after="156"/>
              <w:jc w:val="right"/>
              <w:rPr>
                <w:rFonts w:asciiTheme="minorEastAsia" w:hAnsiTheme="minorEastAsia" w:cs="宋体"/>
                <w:bCs/>
                <w:kern w:val="0"/>
                <w:szCs w:val="21"/>
                <w:lang w:bidi="ar"/>
              </w:rPr>
            </w:pPr>
            <w:r w:rsidRPr="00CA21ED">
              <w:rPr>
                <w:rFonts w:asciiTheme="minorEastAsia" w:hAnsiTheme="minorEastAsia" w:cs="宋体"/>
                <w:bCs/>
                <w:color w:val="000000"/>
                <w:kern w:val="0"/>
                <w:szCs w:val="21"/>
                <w:lang w:bidi="ar"/>
              </w:rPr>
              <w:t>227,370,000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6F39FFEC" w:rsidR="00CA21ED" w:rsidRPr="00CA21ED" w:rsidRDefault="00CA21ED" w:rsidP="00CA21ED">
            <w:pPr>
              <w:widowControl/>
              <w:spacing w:afterLines="50" w:after="156"/>
              <w:jc w:val="center"/>
              <w:rPr>
                <w:rFonts w:asciiTheme="minorEastAsia" w:hAnsiTheme="minorEastAsia" w:cs="宋体"/>
                <w:bCs/>
                <w:kern w:val="0"/>
                <w:szCs w:val="21"/>
                <w:highlight w:val="yellow"/>
                <w:lang w:bidi="ar"/>
              </w:rPr>
            </w:pPr>
            <w:r w:rsidRPr="00CA21ED">
              <w:rPr>
                <w:rFonts w:asciiTheme="minorEastAsia" w:hAnsiTheme="minorEastAsia" w:hint="eastAsia"/>
                <w:bCs/>
                <w:color w:val="000000"/>
                <w:szCs w:val="21"/>
              </w:rPr>
              <w:t xml:space="preserve"> 245,470,000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0F891A9F" w:rsidR="00CA21ED" w:rsidRPr="00CA21ED" w:rsidRDefault="00CA21ED" w:rsidP="00CA21ED">
            <w:pPr>
              <w:widowControl/>
              <w:spacing w:afterLines="50" w:after="156"/>
              <w:jc w:val="right"/>
              <w:rPr>
                <w:rFonts w:asciiTheme="minorEastAsia" w:hAnsiTheme="minorEastAsia" w:cs="宋体"/>
                <w:bCs/>
                <w:kern w:val="0"/>
                <w:szCs w:val="21"/>
                <w:highlight w:val="yellow"/>
                <w:lang w:bidi="ar"/>
              </w:rPr>
            </w:pPr>
            <w:r w:rsidRPr="00CA21ED">
              <w:rPr>
                <w:rFonts w:asciiTheme="minorEastAsia" w:hAnsiTheme="minorEastAsia" w:hint="eastAsia"/>
                <w:bCs/>
                <w:color w:val="000000"/>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0FE14242" w:rsidR="00CA21ED" w:rsidRPr="00CA21ED" w:rsidRDefault="00CA21ED" w:rsidP="00CA21ED">
            <w:pPr>
              <w:widowControl/>
              <w:spacing w:afterLines="50" w:after="156"/>
              <w:jc w:val="right"/>
              <w:rPr>
                <w:rFonts w:asciiTheme="minorEastAsia" w:hAnsiTheme="minorEastAsia" w:cs="宋体"/>
                <w:bCs/>
                <w:kern w:val="0"/>
                <w:szCs w:val="21"/>
                <w:highlight w:val="yellow"/>
                <w:lang w:bidi="ar"/>
              </w:rPr>
            </w:pPr>
            <w:r w:rsidRPr="00CA21ED">
              <w:rPr>
                <w:rFonts w:asciiTheme="minorEastAsia" w:hAnsiTheme="minorEastAsia" w:hint="eastAsia"/>
                <w:bCs/>
                <w:color w:val="000000"/>
                <w:szCs w:val="21"/>
              </w:rPr>
              <w:t>39.66%</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CA21ED" w:rsidRPr="00CA21ED" w:rsidRDefault="00CA21ED" w:rsidP="001872D1">
            <w:pPr>
              <w:widowControl/>
              <w:spacing w:afterLines="50" w:after="156"/>
              <w:jc w:val="right"/>
              <w:rPr>
                <w:rFonts w:asciiTheme="minorEastAsia" w:hAnsiTheme="minorEastAsia" w:cs="宋体"/>
                <w:bCs/>
                <w:kern w:val="0"/>
                <w:szCs w:val="21"/>
                <w:lang w:bidi="ar"/>
              </w:rPr>
            </w:pPr>
            <w:r w:rsidRPr="00CA21ED">
              <w:rPr>
                <w:rFonts w:asciiTheme="minorEastAsia" w:hAnsiTheme="minorEastAsia" w:cs="宋体" w:hint="eastAsia"/>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CA21ED" w:rsidRPr="00CA21ED" w:rsidRDefault="00CA21ED" w:rsidP="001872D1">
            <w:pPr>
              <w:widowControl/>
              <w:spacing w:afterLines="50" w:after="156"/>
              <w:jc w:val="right"/>
              <w:rPr>
                <w:rFonts w:asciiTheme="minorEastAsia" w:hAnsiTheme="minorEastAsia" w:cs="宋体"/>
                <w:kern w:val="0"/>
                <w:szCs w:val="21"/>
              </w:rPr>
            </w:pPr>
            <w:r w:rsidRPr="00CA21ED">
              <w:rPr>
                <w:rFonts w:asciiTheme="minorEastAsia" w:hAnsiTheme="minorEastAsia" w:cs="宋体" w:hint="eastAsia"/>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CA21ED" w:rsidRPr="00CA21ED" w:rsidRDefault="00CA21ED" w:rsidP="001872D1">
            <w:pPr>
              <w:widowControl/>
              <w:spacing w:afterLines="50" w:after="156"/>
              <w:jc w:val="right"/>
              <w:rPr>
                <w:rFonts w:asciiTheme="minorEastAsia" w:hAnsiTheme="minorEastAsia" w:cs="宋体"/>
                <w:kern w:val="0"/>
                <w:szCs w:val="21"/>
              </w:rPr>
            </w:pPr>
            <w:r w:rsidRPr="00CA21ED">
              <w:rPr>
                <w:rFonts w:asciiTheme="minorEastAsia" w:hAnsiTheme="minorEastAsia" w:cs="宋体" w:hint="eastAsia"/>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CA21ED" w:rsidRPr="00CA21ED" w:rsidRDefault="00CA21ED" w:rsidP="001872D1">
            <w:pPr>
              <w:widowControl/>
              <w:spacing w:afterLines="50" w:after="156"/>
              <w:jc w:val="right"/>
              <w:rPr>
                <w:rFonts w:asciiTheme="minorEastAsia" w:hAnsiTheme="minorEastAsia" w:cs="宋体"/>
                <w:kern w:val="0"/>
                <w:szCs w:val="21"/>
              </w:rPr>
            </w:pPr>
            <w:r w:rsidRPr="00CA21ED">
              <w:rPr>
                <w:rFonts w:asciiTheme="minorEastAsia" w:hAnsiTheme="minorEastAsia" w:cs="宋体" w:hint="eastAsia"/>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63C1F18E" w14:textId="77777777" w:rsidR="008B2371" w:rsidRPr="00E45A07" w:rsidRDefault="008B2371" w:rsidP="00E45A07">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E45A07">
        <w:rPr>
          <w:rFonts w:ascii="宋体" w:eastAsia="宋体" w:hAnsi="宋体" w:cs="Times New Roman"/>
          <w:b/>
          <w:bCs/>
          <w:kern w:val="0"/>
          <w:sz w:val="24"/>
          <w:szCs w:val="24"/>
        </w:rPr>
        <w:lastRenderedPageBreak/>
        <w:t>二、其他事项</w:t>
      </w:r>
    </w:p>
    <w:p w14:paraId="79BA5E4E" w14:textId="6B2D5649"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894392" w:rsidRPr="00512D92">
        <w:rPr>
          <w:rFonts w:asciiTheme="minorEastAsia" w:hAnsiTheme="minorEastAsia" w:hint="eastAsia"/>
          <w:bCs/>
          <w:color w:val="000000"/>
          <w:sz w:val="24"/>
          <w:szCs w:val="24"/>
        </w:rPr>
        <w:t>245,470,000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894392">
        <w:rPr>
          <w:rFonts w:ascii="宋体" w:eastAsia="宋体" w:hAnsi="宋体" w:cs="Times New Roman" w:hint="eastAsia"/>
          <w:bCs/>
          <w:kern w:val="0"/>
          <w:sz w:val="24"/>
          <w:szCs w:val="24"/>
        </w:rPr>
        <w:t>78.96</w:t>
      </w:r>
      <w:r w:rsidR="003E282B" w:rsidRPr="001872D1">
        <w:rPr>
          <w:rFonts w:ascii="宋体" w:eastAsia="宋体" w:hAnsi="宋体" w:cs="Times New Roman"/>
          <w:bCs/>
          <w:kern w:val="0"/>
          <w:sz w:val="24"/>
          <w:szCs w:val="24"/>
        </w:rPr>
        <w:t>%</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w:t>
      </w:r>
      <w:r w:rsidR="00894392">
        <w:rPr>
          <w:rFonts w:ascii="宋体" w:eastAsia="宋体" w:hAnsi="宋体" w:cs="Times New Roman" w:hint="eastAsia"/>
          <w:bCs/>
          <w:kern w:val="0"/>
          <w:sz w:val="24"/>
          <w:szCs w:val="24"/>
        </w:rPr>
        <w:t>50</w:t>
      </w:r>
      <w:r w:rsidR="003E282B" w:rsidRPr="001872D1">
        <w:rPr>
          <w:rFonts w:ascii="宋体" w:eastAsia="宋体" w:hAnsi="宋体" w:cs="Times New Roman"/>
          <w:bCs/>
          <w:kern w:val="0"/>
          <w:sz w:val="24"/>
          <w:szCs w:val="24"/>
        </w:rPr>
        <w:t>%</w:t>
      </w:r>
      <w:r w:rsidR="00A82218" w:rsidRPr="001872D1">
        <w:rPr>
          <w:rFonts w:ascii="宋体" w:eastAsia="宋体" w:hAnsi="宋体" w:cs="Times New Roman"/>
          <w:bCs/>
          <w:kern w:val="0"/>
          <w:sz w:val="24"/>
          <w:szCs w:val="24"/>
        </w:rPr>
        <w:t>。</w:t>
      </w:r>
    </w:p>
    <w:p w14:paraId="7DC0C3A7" w14:textId="0E223FC0"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F02A84" w:rsidRPr="002E4545">
        <w:rPr>
          <w:rFonts w:ascii="宋体" w:eastAsia="宋体" w:hAnsi="宋体" w:cs="Times New Roman" w:hint="eastAsia"/>
          <w:bCs/>
          <w:kern w:val="0"/>
          <w:sz w:val="24"/>
          <w:szCs w:val="24"/>
        </w:rPr>
        <w:t>祥</w:t>
      </w:r>
      <w:proofErr w:type="gramEnd"/>
      <w:r w:rsidR="00F02A84" w:rsidRPr="002E4545">
        <w:rPr>
          <w:rFonts w:ascii="宋体" w:eastAsia="宋体" w:hAnsi="宋体" w:cs="Times New Roman" w:hint="eastAsia"/>
          <w:bCs/>
          <w:kern w:val="0"/>
          <w:sz w:val="24"/>
          <w:szCs w:val="24"/>
        </w:rPr>
        <w:t>源控股未来半年内将到期的质押股数为</w:t>
      </w:r>
      <w:r w:rsidR="009F44C7">
        <w:rPr>
          <w:rFonts w:ascii="宋体" w:eastAsia="宋体" w:hAnsi="宋体" w:cs="Times New Roman" w:hint="eastAsia"/>
          <w:bCs/>
          <w:kern w:val="0"/>
          <w:sz w:val="24"/>
          <w:szCs w:val="24"/>
        </w:rPr>
        <w:t>69,710,000</w:t>
      </w:r>
      <w:r w:rsidR="00F02A84" w:rsidRPr="002E4545">
        <w:rPr>
          <w:rFonts w:ascii="宋体" w:eastAsia="宋体" w:hAnsi="宋体" w:cs="Times New Roman" w:hint="eastAsia"/>
          <w:bCs/>
          <w:kern w:val="0"/>
          <w:sz w:val="24"/>
          <w:szCs w:val="24"/>
        </w:rPr>
        <w:t>股；一年内（不含半年内到期）将到期的质押股数为</w:t>
      </w:r>
      <w:r w:rsidR="009F44C7">
        <w:rPr>
          <w:rFonts w:ascii="宋体" w:eastAsia="宋体" w:hAnsi="宋体" w:cs="Times New Roman" w:hint="eastAsia"/>
          <w:bCs/>
          <w:kern w:val="0"/>
          <w:sz w:val="24"/>
          <w:szCs w:val="24"/>
        </w:rPr>
        <w:t>43,500,000</w:t>
      </w:r>
      <w:r w:rsidR="00F02A84" w:rsidRPr="002E4545">
        <w:rPr>
          <w:rFonts w:ascii="宋体" w:eastAsia="宋体" w:hAnsi="宋体" w:cs="Times New Roman" w:hint="eastAsia"/>
          <w:bCs/>
          <w:kern w:val="0"/>
          <w:sz w:val="24"/>
          <w:szCs w:val="24"/>
        </w:rPr>
        <w:t>股</w:t>
      </w:r>
      <w:r w:rsidR="00F02A84" w:rsidRPr="001872D1">
        <w:rPr>
          <w:rFonts w:ascii="宋体" w:eastAsia="宋体" w:hAnsi="宋体" w:cs="Times New Roman"/>
          <w:bCs/>
          <w:kern w:val="0"/>
          <w:sz w:val="24"/>
          <w:szCs w:val="24"/>
        </w:rPr>
        <w:t>。</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0AF7CEF4" w14:textId="77777777" w:rsidR="008029AA" w:rsidRDefault="008029AA"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4B51F1FA"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B1652A">
        <w:rPr>
          <w:rFonts w:ascii="宋体" w:eastAsia="宋体" w:hAnsi="宋体" w:cs="Times New Roman" w:hint="eastAsia"/>
          <w:bCs/>
          <w:kern w:val="0"/>
          <w:sz w:val="24"/>
          <w:szCs w:val="24"/>
        </w:rPr>
        <w:t>9</w:t>
      </w:r>
      <w:r>
        <w:rPr>
          <w:rFonts w:ascii="宋体" w:eastAsia="宋体" w:hAnsi="宋体" w:cs="Times New Roman" w:hint="eastAsia"/>
          <w:bCs/>
          <w:kern w:val="0"/>
          <w:sz w:val="24"/>
          <w:szCs w:val="24"/>
        </w:rPr>
        <w:t>月</w:t>
      </w:r>
      <w:r w:rsidR="00B1652A">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27B39" w14:textId="77777777" w:rsidR="00BC4C90" w:rsidRDefault="00BC4C90" w:rsidP="000F6CF3">
      <w:r>
        <w:separator/>
      </w:r>
    </w:p>
  </w:endnote>
  <w:endnote w:type="continuationSeparator" w:id="0">
    <w:p w14:paraId="76C5E669" w14:textId="77777777" w:rsidR="00BC4C90" w:rsidRDefault="00BC4C90"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CBA32" w14:textId="77777777" w:rsidR="00BC4C90" w:rsidRDefault="00BC4C90" w:rsidP="000F6CF3">
      <w:r>
        <w:separator/>
      </w:r>
    </w:p>
  </w:footnote>
  <w:footnote w:type="continuationSeparator" w:id="0">
    <w:p w14:paraId="188AB7C4" w14:textId="77777777" w:rsidR="00BC4C90" w:rsidRDefault="00BC4C90"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14841"/>
    <w:rsid w:val="00035EC5"/>
    <w:rsid w:val="00055564"/>
    <w:rsid w:val="0006129A"/>
    <w:rsid w:val="00065F52"/>
    <w:rsid w:val="00084CCC"/>
    <w:rsid w:val="00087A17"/>
    <w:rsid w:val="00087C87"/>
    <w:rsid w:val="00091907"/>
    <w:rsid w:val="000A47DF"/>
    <w:rsid w:val="000B7D15"/>
    <w:rsid w:val="000F6CF3"/>
    <w:rsid w:val="00115970"/>
    <w:rsid w:val="00117071"/>
    <w:rsid w:val="001172D3"/>
    <w:rsid w:val="001173B5"/>
    <w:rsid w:val="001218FA"/>
    <w:rsid w:val="001263E8"/>
    <w:rsid w:val="00134539"/>
    <w:rsid w:val="00144232"/>
    <w:rsid w:val="00151E8F"/>
    <w:rsid w:val="001607E1"/>
    <w:rsid w:val="001737A2"/>
    <w:rsid w:val="001872D1"/>
    <w:rsid w:val="001920CF"/>
    <w:rsid w:val="001B2205"/>
    <w:rsid w:val="001B4AE4"/>
    <w:rsid w:val="001B7564"/>
    <w:rsid w:val="001C6744"/>
    <w:rsid w:val="00214D19"/>
    <w:rsid w:val="00234DA0"/>
    <w:rsid w:val="0023660A"/>
    <w:rsid w:val="00237CFC"/>
    <w:rsid w:val="00245048"/>
    <w:rsid w:val="00252706"/>
    <w:rsid w:val="002538B7"/>
    <w:rsid w:val="0025489C"/>
    <w:rsid w:val="00257DFD"/>
    <w:rsid w:val="00260198"/>
    <w:rsid w:val="0026086A"/>
    <w:rsid w:val="0026154C"/>
    <w:rsid w:val="00263666"/>
    <w:rsid w:val="002807A0"/>
    <w:rsid w:val="00287325"/>
    <w:rsid w:val="00290358"/>
    <w:rsid w:val="00292E11"/>
    <w:rsid w:val="002962C4"/>
    <w:rsid w:val="002B1B24"/>
    <w:rsid w:val="002B1B58"/>
    <w:rsid w:val="002B1BD6"/>
    <w:rsid w:val="002B3775"/>
    <w:rsid w:val="002B3A6C"/>
    <w:rsid w:val="002C3B01"/>
    <w:rsid w:val="002D1CD9"/>
    <w:rsid w:val="002F2F22"/>
    <w:rsid w:val="00306551"/>
    <w:rsid w:val="0033411D"/>
    <w:rsid w:val="003356B0"/>
    <w:rsid w:val="0034519B"/>
    <w:rsid w:val="0034582B"/>
    <w:rsid w:val="00345EEC"/>
    <w:rsid w:val="0034610C"/>
    <w:rsid w:val="00347928"/>
    <w:rsid w:val="003546C7"/>
    <w:rsid w:val="0036059D"/>
    <w:rsid w:val="003807AD"/>
    <w:rsid w:val="003D25ED"/>
    <w:rsid w:val="003D3DB2"/>
    <w:rsid w:val="003E282B"/>
    <w:rsid w:val="003F0119"/>
    <w:rsid w:val="003F7883"/>
    <w:rsid w:val="004064C1"/>
    <w:rsid w:val="004067C3"/>
    <w:rsid w:val="00423B38"/>
    <w:rsid w:val="004270DF"/>
    <w:rsid w:val="004272A0"/>
    <w:rsid w:val="00430025"/>
    <w:rsid w:val="004372FB"/>
    <w:rsid w:val="00437CF6"/>
    <w:rsid w:val="00443790"/>
    <w:rsid w:val="0044477F"/>
    <w:rsid w:val="00445FA8"/>
    <w:rsid w:val="00446357"/>
    <w:rsid w:val="00450649"/>
    <w:rsid w:val="0045378A"/>
    <w:rsid w:val="0046307B"/>
    <w:rsid w:val="004731A6"/>
    <w:rsid w:val="00491454"/>
    <w:rsid w:val="00492D73"/>
    <w:rsid w:val="00493D7D"/>
    <w:rsid w:val="004958B3"/>
    <w:rsid w:val="004B182E"/>
    <w:rsid w:val="004C1698"/>
    <w:rsid w:val="004C7469"/>
    <w:rsid w:val="004E4DAF"/>
    <w:rsid w:val="004F0AA8"/>
    <w:rsid w:val="004F1BE7"/>
    <w:rsid w:val="00501827"/>
    <w:rsid w:val="00506055"/>
    <w:rsid w:val="00510DA0"/>
    <w:rsid w:val="00512D92"/>
    <w:rsid w:val="00516B70"/>
    <w:rsid w:val="00520F56"/>
    <w:rsid w:val="00526F38"/>
    <w:rsid w:val="005409CC"/>
    <w:rsid w:val="00565792"/>
    <w:rsid w:val="0057104D"/>
    <w:rsid w:val="00571367"/>
    <w:rsid w:val="005828A7"/>
    <w:rsid w:val="005833E8"/>
    <w:rsid w:val="005903C4"/>
    <w:rsid w:val="00592C27"/>
    <w:rsid w:val="005A5327"/>
    <w:rsid w:val="005A58D5"/>
    <w:rsid w:val="005A5AF4"/>
    <w:rsid w:val="005A634B"/>
    <w:rsid w:val="005B61A4"/>
    <w:rsid w:val="005D617E"/>
    <w:rsid w:val="005E3B11"/>
    <w:rsid w:val="005E4C67"/>
    <w:rsid w:val="005F650D"/>
    <w:rsid w:val="006075A2"/>
    <w:rsid w:val="00607BD4"/>
    <w:rsid w:val="00616151"/>
    <w:rsid w:val="00623EBE"/>
    <w:rsid w:val="006342A2"/>
    <w:rsid w:val="00641B07"/>
    <w:rsid w:val="00654183"/>
    <w:rsid w:val="00693A3D"/>
    <w:rsid w:val="006A09FE"/>
    <w:rsid w:val="006A7C6E"/>
    <w:rsid w:val="006B6F57"/>
    <w:rsid w:val="006B764B"/>
    <w:rsid w:val="006D3A6F"/>
    <w:rsid w:val="006E0BEC"/>
    <w:rsid w:val="006E567A"/>
    <w:rsid w:val="006E7A63"/>
    <w:rsid w:val="006F5F3D"/>
    <w:rsid w:val="00701A8C"/>
    <w:rsid w:val="00726F34"/>
    <w:rsid w:val="00731A06"/>
    <w:rsid w:val="0073219D"/>
    <w:rsid w:val="00734386"/>
    <w:rsid w:val="007343E0"/>
    <w:rsid w:val="00740F10"/>
    <w:rsid w:val="0074367C"/>
    <w:rsid w:val="00745ECE"/>
    <w:rsid w:val="00755472"/>
    <w:rsid w:val="007601B9"/>
    <w:rsid w:val="0076154D"/>
    <w:rsid w:val="00762021"/>
    <w:rsid w:val="007669D0"/>
    <w:rsid w:val="00775C2A"/>
    <w:rsid w:val="00776C6E"/>
    <w:rsid w:val="007852A8"/>
    <w:rsid w:val="00793C84"/>
    <w:rsid w:val="00795B3A"/>
    <w:rsid w:val="007B2E02"/>
    <w:rsid w:val="007B6EE5"/>
    <w:rsid w:val="007D70D3"/>
    <w:rsid w:val="007E1A44"/>
    <w:rsid w:val="007F11EB"/>
    <w:rsid w:val="007F1451"/>
    <w:rsid w:val="008029AA"/>
    <w:rsid w:val="0081094B"/>
    <w:rsid w:val="00813C56"/>
    <w:rsid w:val="00816C4A"/>
    <w:rsid w:val="008176B0"/>
    <w:rsid w:val="00824AFD"/>
    <w:rsid w:val="0083007B"/>
    <w:rsid w:val="008309E9"/>
    <w:rsid w:val="0083543A"/>
    <w:rsid w:val="00835FD8"/>
    <w:rsid w:val="00837C6D"/>
    <w:rsid w:val="00845DFB"/>
    <w:rsid w:val="00846177"/>
    <w:rsid w:val="00852D91"/>
    <w:rsid w:val="00856FBA"/>
    <w:rsid w:val="00865EAC"/>
    <w:rsid w:val="00876FFB"/>
    <w:rsid w:val="0088638D"/>
    <w:rsid w:val="00893769"/>
    <w:rsid w:val="00894392"/>
    <w:rsid w:val="008A2C8C"/>
    <w:rsid w:val="008B1A4E"/>
    <w:rsid w:val="008B2371"/>
    <w:rsid w:val="008D20D2"/>
    <w:rsid w:val="008D3AE8"/>
    <w:rsid w:val="008D6D42"/>
    <w:rsid w:val="008E22C9"/>
    <w:rsid w:val="008F5117"/>
    <w:rsid w:val="0091392F"/>
    <w:rsid w:val="00916129"/>
    <w:rsid w:val="00923306"/>
    <w:rsid w:val="00941AF2"/>
    <w:rsid w:val="00943C03"/>
    <w:rsid w:val="009518E0"/>
    <w:rsid w:val="009625E1"/>
    <w:rsid w:val="009805D4"/>
    <w:rsid w:val="00987B8F"/>
    <w:rsid w:val="009929AA"/>
    <w:rsid w:val="009A770B"/>
    <w:rsid w:val="009B5301"/>
    <w:rsid w:val="009C1329"/>
    <w:rsid w:val="009C4CD5"/>
    <w:rsid w:val="009D4B36"/>
    <w:rsid w:val="009D7DD6"/>
    <w:rsid w:val="009E04C6"/>
    <w:rsid w:val="009F44C7"/>
    <w:rsid w:val="009F704E"/>
    <w:rsid w:val="00A06C48"/>
    <w:rsid w:val="00A2183C"/>
    <w:rsid w:val="00A21A11"/>
    <w:rsid w:val="00A359D2"/>
    <w:rsid w:val="00A43BAB"/>
    <w:rsid w:val="00A62AAA"/>
    <w:rsid w:val="00A62DCA"/>
    <w:rsid w:val="00A642AE"/>
    <w:rsid w:val="00A64D42"/>
    <w:rsid w:val="00A67F6D"/>
    <w:rsid w:val="00A808D1"/>
    <w:rsid w:val="00A82201"/>
    <w:rsid w:val="00A82218"/>
    <w:rsid w:val="00AB55E3"/>
    <w:rsid w:val="00AC3163"/>
    <w:rsid w:val="00AC5A7F"/>
    <w:rsid w:val="00AE3AB4"/>
    <w:rsid w:val="00AE4A59"/>
    <w:rsid w:val="00AF1C5D"/>
    <w:rsid w:val="00B04F29"/>
    <w:rsid w:val="00B0534A"/>
    <w:rsid w:val="00B128EA"/>
    <w:rsid w:val="00B14CF1"/>
    <w:rsid w:val="00B1652A"/>
    <w:rsid w:val="00B20251"/>
    <w:rsid w:val="00B33B19"/>
    <w:rsid w:val="00B425E0"/>
    <w:rsid w:val="00B76B1A"/>
    <w:rsid w:val="00B9197B"/>
    <w:rsid w:val="00B95785"/>
    <w:rsid w:val="00BA0A63"/>
    <w:rsid w:val="00BA5939"/>
    <w:rsid w:val="00BA7D03"/>
    <w:rsid w:val="00BB1FA9"/>
    <w:rsid w:val="00BC4C90"/>
    <w:rsid w:val="00BD13DC"/>
    <w:rsid w:val="00BE375E"/>
    <w:rsid w:val="00BE625B"/>
    <w:rsid w:val="00BF3388"/>
    <w:rsid w:val="00C00256"/>
    <w:rsid w:val="00C17D5B"/>
    <w:rsid w:val="00C22EF7"/>
    <w:rsid w:val="00C23D01"/>
    <w:rsid w:val="00C32A04"/>
    <w:rsid w:val="00C4673F"/>
    <w:rsid w:val="00C66F65"/>
    <w:rsid w:val="00C70C8A"/>
    <w:rsid w:val="00C738B4"/>
    <w:rsid w:val="00C8176A"/>
    <w:rsid w:val="00C843FF"/>
    <w:rsid w:val="00C976D2"/>
    <w:rsid w:val="00CA21ED"/>
    <w:rsid w:val="00CA3E52"/>
    <w:rsid w:val="00CD209B"/>
    <w:rsid w:val="00CD61AC"/>
    <w:rsid w:val="00CE112E"/>
    <w:rsid w:val="00CE2C20"/>
    <w:rsid w:val="00CF3C7E"/>
    <w:rsid w:val="00D01501"/>
    <w:rsid w:val="00D034A3"/>
    <w:rsid w:val="00D10833"/>
    <w:rsid w:val="00D10B8A"/>
    <w:rsid w:val="00D10EDF"/>
    <w:rsid w:val="00D143FD"/>
    <w:rsid w:val="00D1618B"/>
    <w:rsid w:val="00D259AE"/>
    <w:rsid w:val="00D27217"/>
    <w:rsid w:val="00D350D6"/>
    <w:rsid w:val="00D36ECB"/>
    <w:rsid w:val="00D40777"/>
    <w:rsid w:val="00D41FD2"/>
    <w:rsid w:val="00D44EA0"/>
    <w:rsid w:val="00D5009F"/>
    <w:rsid w:val="00D6274A"/>
    <w:rsid w:val="00D638C3"/>
    <w:rsid w:val="00D655F3"/>
    <w:rsid w:val="00D66B45"/>
    <w:rsid w:val="00D73EC1"/>
    <w:rsid w:val="00DA1F9E"/>
    <w:rsid w:val="00DB38DB"/>
    <w:rsid w:val="00DC245F"/>
    <w:rsid w:val="00DD53E1"/>
    <w:rsid w:val="00DD71BE"/>
    <w:rsid w:val="00DE3495"/>
    <w:rsid w:val="00DF1BAC"/>
    <w:rsid w:val="00DF2458"/>
    <w:rsid w:val="00DF501A"/>
    <w:rsid w:val="00E00CFD"/>
    <w:rsid w:val="00E15DCC"/>
    <w:rsid w:val="00E172EB"/>
    <w:rsid w:val="00E31D9C"/>
    <w:rsid w:val="00E3284E"/>
    <w:rsid w:val="00E32A4B"/>
    <w:rsid w:val="00E45A07"/>
    <w:rsid w:val="00E53418"/>
    <w:rsid w:val="00E65F19"/>
    <w:rsid w:val="00E713E8"/>
    <w:rsid w:val="00E71E97"/>
    <w:rsid w:val="00E763B6"/>
    <w:rsid w:val="00E85022"/>
    <w:rsid w:val="00E92640"/>
    <w:rsid w:val="00EA032B"/>
    <w:rsid w:val="00EA04FC"/>
    <w:rsid w:val="00EA482E"/>
    <w:rsid w:val="00EB45D1"/>
    <w:rsid w:val="00EB7F68"/>
    <w:rsid w:val="00EE3AE4"/>
    <w:rsid w:val="00EE66A9"/>
    <w:rsid w:val="00EE690F"/>
    <w:rsid w:val="00F02A84"/>
    <w:rsid w:val="00F149FE"/>
    <w:rsid w:val="00F374CD"/>
    <w:rsid w:val="00F771DA"/>
    <w:rsid w:val="00F82875"/>
    <w:rsid w:val="00F90982"/>
    <w:rsid w:val="00F93295"/>
    <w:rsid w:val="00FA0166"/>
    <w:rsid w:val="00FA0616"/>
    <w:rsid w:val="00FA2510"/>
    <w:rsid w:val="00FC709C"/>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 w:type="table" w:styleId="ab">
    <w:name w:val="Table Grid"/>
    <w:basedOn w:val="a1"/>
    <w:uiPriority w:val="59"/>
    <w:rsid w:val="0025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531">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62338536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761031282">
      <w:bodyDiv w:val="1"/>
      <w:marLeft w:val="0"/>
      <w:marRight w:val="0"/>
      <w:marTop w:val="0"/>
      <w:marBottom w:val="0"/>
      <w:divBdr>
        <w:top w:val="none" w:sz="0" w:space="0" w:color="auto"/>
        <w:left w:val="none" w:sz="0" w:space="0" w:color="auto"/>
        <w:bottom w:val="none" w:sz="0" w:space="0" w:color="auto"/>
        <w:right w:val="none" w:sz="0" w:space="0" w:color="auto"/>
      </w:divBdr>
    </w:div>
    <w:div w:id="856502913">
      <w:bodyDiv w:val="1"/>
      <w:marLeft w:val="0"/>
      <w:marRight w:val="0"/>
      <w:marTop w:val="0"/>
      <w:marBottom w:val="0"/>
      <w:divBdr>
        <w:top w:val="none" w:sz="0" w:space="0" w:color="auto"/>
        <w:left w:val="none" w:sz="0" w:space="0" w:color="auto"/>
        <w:bottom w:val="none" w:sz="0" w:space="0" w:color="auto"/>
        <w:right w:val="none" w:sz="0" w:space="0" w:color="auto"/>
      </w:divBdr>
    </w:div>
    <w:div w:id="878979396">
      <w:bodyDiv w:val="1"/>
      <w:marLeft w:val="0"/>
      <w:marRight w:val="0"/>
      <w:marTop w:val="0"/>
      <w:marBottom w:val="0"/>
      <w:divBdr>
        <w:top w:val="none" w:sz="0" w:space="0" w:color="auto"/>
        <w:left w:val="none" w:sz="0" w:space="0" w:color="auto"/>
        <w:bottom w:val="none" w:sz="0" w:space="0" w:color="auto"/>
        <w:right w:val="none" w:sz="0" w:space="0" w:color="auto"/>
      </w:divBdr>
    </w:div>
    <w:div w:id="92880775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38561796">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3944623">
      <w:bodyDiv w:val="1"/>
      <w:marLeft w:val="0"/>
      <w:marRight w:val="0"/>
      <w:marTop w:val="0"/>
      <w:marBottom w:val="0"/>
      <w:divBdr>
        <w:top w:val="none" w:sz="0" w:space="0" w:color="auto"/>
        <w:left w:val="none" w:sz="0" w:space="0" w:color="auto"/>
        <w:bottom w:val="none" w:sz="0" w:space="0" w:color="auto"/>
        <w:right w:val="none" w:sz="0" w:space="0" w:color="auto"/>
      </w:divBdr>
    </w:div>
    <w:div w:id="2003317384">
      <w:bodyDiv w:val="1"/>
      <w:marLeft w:val="0"/>
      <w:marRight w:val="0"/>
      <w:marTop w:val="0"/>
      <w:marBottom w:val="0"/>
      <w:divBdr>
        <w:top w:val="none" w:sz="0" w:space="0" w:color="auto"/>
        <w:left w:val="none" w:sz="0" w:space="0" w:color="auto"/>
        <w:bottom w:val="none" w:sz="0" w:space="0" w:color="auto"/>
        <w:right w:val="none" w:sz="0" w:space="0" w:color="auto"/>
      </w:divBdr>
    </w:div>
    <w:div w:id="212738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4DBFF-E562-4489-AD7E-E2F7D34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231</cp:revision>
  <cp:lastPrinted>2025-09-04T06:57:00Z</cp:lastPrinted>
  <dcterms:created xsi:type="dcterms:W3CDTF">2020-02-24T08:42:00Z</dcterms:created>
  <dcterms:modified xsi:type="dcterms:W3CDTF">2025-09-04T07:02:00Z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